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8F6" w:rsidRDefault="00095FEF" w:rsidP="00095FEF">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WORLEY DETERMINATION</w:t>
      </w:r>
    </w:p>
    <w:p w:rsidR="00095FEF" w:rsidRDefault="00095FEF" w:rsidP="00095FEF">
      <w:pPr>
        <w:spacing w:after="0" w:line="240" w:lineRule="auto"/>
        <w:jc w:val="center"/>
        <w:rPr>
          <w:rFonts w:ascii="Times New Roman" w:hAnsi="Times New Roman" w:cs="Times New Roman"/>
          <w:b/>
          <w:sz w:val="24"/>
          <w:szCs w:val="24"/>
          <w:u w:val="single"/>
        </w:rPr>
      </w:pPr>
    </w:p>
    <w:p w:rsidR="00095FEF" w:rsidRDefault="00095FEF" w:rsidP="00095FE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Peckham moved, seconded by Mr. Wright, that the application of Ron and Theresa Worley, 19 Country Meadow Drive, Honeoye Falls, NY, for an area variance at said property, near the West Bloomfield and </w:t>
      </w:r>
      <w:r w:rsidR="004A0105">
        <w:rPr>
          <w:rFonts w:ascii="Times New Roman" w:hAnsi="Times New Roman" w:cs="Times New Roman"/>
          <w:sz w:val="24"/>
          <w:szCs w:val="24"/>
        </w:rPr>
        <w:t>Bulls</w:t>
      </w:r>
      <w:r>
        <w:rPr>
          <w:rFonts w:ascii="Times New Roman" w:hAnsi="Times New Roman" w:cs="Times New Roman"/>
          <w:sz w:val="24"/>
          <w:szCs w:val="24"/>
        </w:rPr>
        <w:t xml:space="preserve"> Saw Mill intersection, consisting of 2</w:t>
      </w:r>
      <w:r w:rsidR="004A0105">
        <w:rPr>
          <w:rFonts w:ascii="Times New Roman" w:hAnsi="Times New Roman" w:cs="Times New Roman"/>
          <w:sz w:val="24"/>
          <w:szCs w:val="24"/>
        </w:rPr>
        <w:t>.</w:t>
      </w:r>
      <w:r>
        <w:rPr>
          <w:rFonts w:ascii="Times New Roman" w:hAnsi="Times New Roman" w:cs="Times New Roman"/>
          <w:sz w:val="24"/>
          <w:szCs w:val="24"/>
        </w:rPr>
        <w:t xml:space="preserve">9 acres and bearing Tax Account No. 216.01-1-41, located in an RA-1 zone, to allow an existing shed to be 6 feet from the side property line, whereas Town Code </w:t>
      </w:r>
      <w:r w:rsidR="00EB09BC">
        <w:rPr>
          <w:rFonts w:ascii="Times New Roman" w:hAnsi="Times New Roman" w:cs="Times New Roman"/>
          <w:sz w:val="24"/>
          <w:szCs w:val="24"/>
        </w:rPr>
        <w:t>requires a 20 foot side setback</w:t>
      </w:r>
      <w:r w:rsidR="004A0105">
        <w:rPr>
          <w:rFonts w:ascii="Times New Roman" w:hAnsi="Times New Roman" w:cs="Times New Roman"/>
          <w:sz w:val="24"/>
          <w:szCs w:val="24"/>
        </w:rPr>
        <w:t>,</w:t>
      </w:r>
      <w:r w:rsidR="00EB09BC">
        <w:rPr>
          <w:rFonts w:ascii="Times New Roman" w:hAnsi="Times New Roman" w:cs="Times New Roman"/>
          <w:sz w:val="24"/>
          <w:szCs w:val="24"/>
        </w:rPr>
        <w:t xml:space="preserve"> be approved subject to the following Findings of Facts and Conclusions of Law:</w:t>
      </w:r>
    </w:p>
    <w:p w:rsidR="00EB09BC" w:rsidRDefault="00EB09BC" w:rsidP="00095FEF">
      <w:pPr>
        <w:spacing w:after="0" w:line="240" w:lineRule="auto"/>
        <w:rPr>
          <w:rFonts w:ascii="Times New Roman" w:hAnsi="Times New Roman" w:cs="Times New Roman"/>
          <w:sz w:val="24"/>
          <w:szCs w:val="24"/>
        </w:rPr>
      </w:pPr>
    </w:p>
    <w:p w:rsidR="00EB09BC" w:rsidRPr="00EB09BC" w:rsidRDefault="00EB09BC" w:rsidP="00095FEF">
      <w:pPr>
        <w:spacing w:after="0" w:line="240" w:lineRule="auto"/>
        <w:rPr>
          <w:rFonts w:ascii="Times New Roman" w:hAnsi="Times New Roman" w:cs="Times New Roman"/>
          <w:b/>
          <w:sz w:val="24"/>
          <w:szCs w:val="24"/>
          <w:u w:val="single"/>
        </w:rPr>
      </w:pPr>
      <w:r w:rsidRPr="00EB09BC">
        <w:rPr>
          <w:rFonts w:ascii="Times New Roman" w:hAnsi="Times New Roman" w:cs="Times New Roman"/>
          <w:b/>
          <w:sz w:val="24"/>
          <w:szCs w:val="24"/>
          <w:u w:val="single"/>
        </w:rPr>
        <w:t>FINDINGS OF FACT</w:t>
      </w:r>
    </w:p>
    <w:p w:rsidR="00095FEF" w:rsidRDefault="00095FEF" w:rsidP="00095FEF">
      <w:pPr>
        <w:spacing w:after="0" w:line="240" w:lineRule="auto"/>
        <w:rPr>
          <w:rFonts w:ascii="Times New Roman" w:hAnsi="Times New Roman" w:cs="Times New Roman"/>
          <w:sz w:val="24"/>
          <w:szCs w:val="24"/>
        </w:rPr>
      </w:pPr>
    </w:p>
    <w:p w:rsidR="00EB09BC" w:rsidRDefault="00EB09BC" w:rsidP="00EB09BC">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Ron and Theresa Worley, 19 Country Meadow Drive, Honeoye Falls, NY, 14472, appeared at a public hearing before the Zoning Board of Appeals on October 23, 2014.</w:t>
      </w:r>
    </w:p>
    <w:p w:rsidR="00EB09BC" w:rsidRDefault="00EB09BC" w:rsidP="00EB09BC">
      <w:pPr>
        <w:spacing w:after="0" w:line="240" w:lineRule="auto"/>
        <w:rPr>
          <w:rFonts w:ascii="Times New Roman" w:hAnsi="Times New Roman" w:cs="Times New Roman"/>
          <w:sz w:val="24"/>
          <w:szCs w:val="24"/>
        </w:rPr>
      </w:pPr>
    </w:p>
    <w:p w:rsidR="00EB09BC" w:rsidRDefault="00EB09BC" w:rsidP="00EB09BC">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subject structure is a pre-existing shed built to house </w:t>
      </w:r>
      <w:r w:rsidR="004A0105">
        <w:rPr>
          <w:rFonts w:ascii="Times New Roman" w:hAnsi="Times New Roman" w:cs="Times New Roman"/>
          <w:sz w:val="24"/>
          <w:szCs w:val="24"/>
        </w:rPr>
        <w:t>swimming</w:t>
      </w:r>
      <w:r>
        <w:rPr>
          <w:rFonts w:ascii="Times New Roman" w:hAnsi="Times New Roman" w:cs="Times New Roman"/>
          <w:sz w:val="24"/>
          <w:szCs w:val="24"/>
        </w:rPr>
        <w:t xml:space="preserve"> pool hardware after installation of the pool in 2004.</w:t>
      </w:r>
    </w:p>
    <w:p w:rsidR="00EB09BC" w:rsidRPr="00EB09BC" w:rsidRDefault="00EB09BC" w:rsidP="00EB09BC">
      <w:pPr>
        <w:pStyle w:val="ListParagraph"/>
        <w:rPr>
          <w:rFonts w:ascii="Times New Roman" w:hAnsi="Times New Roman" w:cs="Times New Roman"/>
          <w:sz w:val="24"/>
          <w:szCs w:val="24"/>
        </w:rPr>
      </w:pPr>
    </w:p>
    <w:p w:rsidR="00EB09BC" w:rsidRDefault="00EB09BC" w:rsidP="00EB09BC">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The property on which the shed is situated backs up to a conservation easement which is forested and contains no neighboring residence.</w:t>
      </w:r>
    </w:p>
    <w:p w:rsidR="00EB09BC" w:rsidRPr="00EB09BC" w:rsidRDefault="00EB09BC" w:rsidP="00EB09BC">
      <w:pPr>
        <w:pStyle w:val="ListParagraph"/>
        <w:rPr>
          <w:rFonts w:ascii="Times New Roman" w:hAnsi="Times New Roman" w:cs="Times New Roman"/>
          <w:sz w:val="24"/>
          <w:szCs w:val="24"/>
        </w:rPr>
      </w:pPr>
    </w:p>
    <w:p w:rsidR="00EB09BC" w:rsidRDefault="00EB09BC" w:rsidP="00EB09BC">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The residential property at 19 Country Meadow Drive is under a contract of sale</w:t>
      </w:r>
      <w:r w:rsidR="004A0105">
        <w:rPr>
          <w:rFonts w:ascii="Times New Roman" w:hAnsi="Times New Roman" w:cs="Times New Roman"/>
          <w:sz w:val="24"/>
          <w:szCs w:val="24"/>
        </w:rPr>
        <w:t>.  T</w:t>
      </w:r>
      <w:r>
        <w:rPr>
          <w:rFonts w:ascii="Times New Roman" w:hAnsi="Times New Roman" w:cs="Times New Roman"/>
          <w:sz w:val="24"/>
          <w:szCs w:val="24"/>
        </w:rPr>
        <w:t>he variance is an obstacle to closing.</w:t>
      </w:r>
    </w:p>
    <w:p w:rsidR="00EB09BC" w:rsidRPr="00EB09BC" w:rsidRDefault="00EB09BC" w:rsidP="00EB09BC">
      <w:pPr>
        <w:pStyle w:val="ListParagraph"/>
        <w:rPr>
          <w:rFonts w:ascii="Times New Roman" w:hAnsi="Times New Roman" w:cs="Times New Roman"/>
          <w:sz w:val="24"/>
          <w:szCs w:val="24"/>
        </w:rPr>
      </w:pPr>
    </w:p>
    <w:p w:rsidR="00EB09BC" w:rsidRDefault="00EB09BC" w:rsidP="00EB09BC">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On October 10, 2014, the Planning Board released the easement granted to provide for the pool shed at issue.</w:t>
      </w:r>
    </w:p>
    <w:p w:rsidR="00EB09BC" w:rsidRPr="00EB09BC" w:rsidRDefault="00EB09BC" w:rsidP="00EB09BC">
      <w:pPr>
        <w:pStyle w:val="ListParagraph"/>
        <w:rPr>
          <w:rFonts w:ascii="Times New Roman" w:hAnsi="Times New Roman" w:cs="Times New Roman"/>
          <w:sz w:val="24"/>
          <w:szCs w:val="24"/>
        </w:rPr>
      </w:pPr>
    </w:p>
    <w:p w:rsidR="00EB09BC" w:rsidRDefault="00EB09BC" w:rsidP="00EB09BC">
      <w:pPr>
        <w:spacing w:after="0" w:line="240" w:lineRule="auto"/>
        <w:ind w:left="360"/>
        <w:rPr>
          <w:rFonts w:ascii="Times New Roman" w:hAnsi="Times New Roman" w:cs="Times New Roman"/>
          <w:b/>
          <w:sz w:val="24"/>
          <w:szCs w:val="24"/>
          <w:u w:val="single"/>
        </w:rPr>
      </w:pPr>
      <w:r w:rsidRPr="00EB09BC">
        <w:rPr>
          <w:rFonts w:ascii="Times New Roman" w:hAnsi="Times New Roman" w:cs="Times New Roman"/>
          <w:b/>
          <w:sz w:val="24"/>
          <w:szCs w:val="24"/>
          <w:u w:val="single"/>
        </w:rPr>
        <w:t>CONCLUSIONS OF LAW</w:t>
      </w:r>
    </w:p>
    <w:p w:rsidR="00EB09BC" w:rsidRDefault="00EB09BC" w:rsidP="00EB09BC">
      <w:pPr>
        <w:spacing w:after="0" w:line="240" w:lineRule="auto"/>
        <w:ind w:left="360"/>
        <w:rPr>
          <w:rFonts w:ascii="Times New Roman" w:hAnsi="Times New Roman" w:cs="Times New Roman"/>
          <w:b/>
          <w:sz w:val="24"/>
          <w:szCs w:val="24"/>
          <w:u w:val="single"/>
        </w:rPr>
      </w:pPr>
    </w:p>
    <w:p w:rsidR="00EB09BC" w:rsidRPr="00EB09BC" w:rsidRDefault="00EB09BC" w:rsidP="00EB09BC">
      <w:pPr>
        <w:pStyle w:val="ListParagraph"/>
        <w:numPr>
          <w:ilvl w:val="0"/>
          <w:numId w:val="2"/>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The granting of the variance will not result in an adverse change to the character of the neighborhood.</w:t>
      </w:r>
    </w:p>
    <w:p w:rsidR="00EB09BC" w:rsidRDefault="00EB09BC" w:rsidP="00EB09BC">
      <w:pPr>
        <w:spacing w:after="0" w:line="240" w:lineRule="auto"/>
        <w:ind w:left="360"/>
        <w:rPr>
          <w:rFonts w:ascii="Times New Roman" w:hAnsi="Times New Roman" w:cs="Times New Roman"/>
          <w:b/>
          <w:sz w:val="24"/>
          <w:szCs w:val="24"/>
          <w:u w:val="single"/>
        </w:rPr>
      </w:pPr>
    </w:p>
    <w:p w:rsidR="00EB09BC" w:rsidRPr="00EB09BC" w:rsidRDefault="00EB09BC" w:rsidP="00EB09BC">
      <w:pPr>
        <w:pStyle w:val="ListParagraph"/>
        <w:numPr>
          <w:ilvl w:val="0"/>
          <w:numId w:val="2"/>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The granting of the variance will not have a negative environmental impact.</w:t>
      </w:r>
    </w:p>
    <w:p w:rsidR="00EB09BC" w:rsidRPr="00EB09BC" w:rsidRDefault="00EB09BC" w:rsidP="00EB09BC">
      <w:pPr>
        <w:pStyle w:val="ListParagraph"/>
        <w:rPr>
          <w:rFonts w:ascii="Times New Roman" w:hAnsi="Times New Roman" w:cs="Times New Roman"/>
          <w:b/>
          <w:sz w:val="24"/>
          <w:szCs w:val="24"/>
          <w:u w:val="single"/>
        </w:rPr>
      </w:pPr>
    </w:p>
    <w:p w:rsidR="00EB09BC" w:rsidRPr="00EB09BC" w:rsidRDefault="00EB09BC" w:rsidP="00EB09BC">
      <w:pPr>
        <w:pStyle w:val="ListParagraph"/>
        <w:numPr>
          <w:ilvl w:val="0"/>
          <w:numId w:val="2"/>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The variance is substantial.</w:t>
      </w:r>
    </w:p>
    <w:p w:rsidR="00EB09BC" w:rsidRPr="00EB09BC" w:rsidRDefault="00EB09BC" w:rsidP="00EB09BC">
      <w:pPr>
        <w:pStyle w:val="ListParagraph"/>
        <w:rPr>
          <w:rFonts w:ascii="Times New Roman" w:hAnsi="Times New Roman" w:cs="Times New Roman"/>
          <w:b/>
          <w:sz w:val="24"/>
          <w:szCs w:val="24"/>
          <w:u w:val="single"/>
        </w:rPr>
      </w:pPr>
    </w:p>
    <w:p w:rsidR="00EB09BC" w:rsidRPr="00EB09BC" w:rsidRDefault="00EB09BC" w:rsidP="00EB09BC">
      <w:pPr>
        <w:pStyle w:val="ListParagraph"/>
        <w:numPr>
          <w:ilvl w:val="0"/>
          <w:numId w:val="2"/>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The difficulty is self-created.</w:t>
      </w:r>
    </w:p>
    <w:p w:rsidR="00EB09BC" w:rsidRPr="00EB09BC" w:rsidRDefault="00EB09BC" w:rsidP="00EB09BC">
      <w:pPr>
        <w:pStyle w:val="ListParagraph"/>
        <w:rPr>
          <w:rFonts w:ascii="Times New Roman" w:hAnsi="Times New Roman" w:cs="Times New Roman"/>
          <w:b/>
          <w:sz w:val="24"/>
          <w:szCs w:val="24"/>
          <w:u w:val="single"/>
        </w:rPr>
      </w:pPr>
    </w:p>
    <w:p w:rsidR="00EB09BC" w:rsidRPr="00EB09BC" w:rsidRDefault="00EB09BC" w:rsidP="00EB09BC">
      <w:pPr>
        <w:pStyle w:val="ListParagraph"/>
        <w:numPr>
          <w:ilvl w:val="0"/>
          <w:numId w:val="2"/>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The action is a Type II action under SEQR.</w:t>
      </w:r>
    </w:p>
    <w:p w:rsidR="00EB09BC" w:rsidRDefault="00EB09BC" w:rsidP="00EB09BC">
      <w:pPr>
        <w:spacing w:after="0" w:line="240" w:lineRule="auto"/>
        <w:ind w:left="360"/>
        <w:rPr>
          <w:rFonts w:ascii="Times New Roman" w:hAnsi="Times New Roman" w:cs="Times New Roman"/>
          <w:sz w:val="24"/>
          <w:szCs w:val="24"/>
        </w:rPr>
      </w:pPr>
    </w:p>
    <w:p w:rsidR="00EB09BC" w:rsidRDefault="00EB09BC" w:rsidP="00EB09BC">
      <w:pPr>
        <w:spacing w:after="0" w:line="240" w:lineRule="auto"/>
        <w:ind w:left="360"/>
        <w:rPr>
          <w:rFonts w:ascii="Times New Roman" w:hAnsi="Times New Roman" w:cs="Times New Roman"/>
          <w:sz w:val="24"/>
          <w:szCs w:val="24"/>
        </w:rPr>
      </w:pPr>
    </w:p>
    <w:p w:rsidR="004A0105" w:rsidRDefault="004A0105" w:rsidP="00EB09BC">
      <w:pPr>
        <w:spacing w:after="0" w:line="240" w:lineRule="auto"/>
        <w:ind w:left="360"/>
        <w:rPr>
          <w:rFonts w:ascii="Times New Roman" w:hAnsi="Times New Roman" w:cs="Times New Roman"/>
          <w:sz w:val="24"/>
          <w:szCs w:val="24"/>
        </w:rPr>
      </w:pPr>
    </w:p>
    <w:p w:rsidR="004A0105" w:rsidRDefault="004A0105" w:rsidP="00EB09BC">
      <w:pPr>
        <w:spacing w:after="0" w:line="240" w:lineRule="auto"/>
        <w:ind w:left="360"/>
        <w:rPr>
          <w:rFonts w:ascii="Times New Roman" w:hAnsi="Times New Roman" w:cs="Times New Roman"/>
          <w:sz w:val="24"/>
          <w:szCs w:val="24"/>
        </w:rPr>
      </w:pPr>
    </w:p>
    <w:p w:rsidR="004A0105" w:rsidRPr="00EB09BC" w:rsidRDefault="004A0105" w:rsidP="00EB09BC">
      <w:pPr>
        <w:spacing w:after="0" w:line="240" w:lineRule="auto"/>
        <w:ind w:left="360"/>
        <w:rPr>
          <w:rFonts w:ascii="Times New Roman" w:hAnsi="Times New Roman" w:cs="Times New Roman"/>
          <w:sz w:val="24"/>
          <w:szCs w:val="24"/>
        </w:rPr>
      </w:pPr>
      <w:bookmarkStart w:id="0" w:name="_GoBack"/>
      <w:bookmarkEnd w:id="0"/>
    </w:p>
    <w:p w:rsidR="00095FEF" w:rsidRPr="00095FEF" w:rsidRDefault="004A0105" w:rsidP="00095FEF">
      <w:pPr>
        <w:spacing w:after="0" w:line="240" w:lineRule="auto"/>
        <w:rPr>
          <w:rFonts w:ascii="Times New Roman" w:hAnsi="Times New Roman" w:cs="Times New Roman"/>
          <w:sz w:val="24"/>
          <w:szCs w:val="24"/>
        </w:rPr>
      </w:pPr>
      <w:r>
        <w:rPr>
          <w:rFonts w:ascii="Times New Roman" w:hAnsi="Times New Roman" w:cs="Times New Roman"/>
          <w:sz w:val="24"/>
          <w:szCs w:val="24"/>
        </w:rPr>
        <w:t>Approved 10/23/14</w:t>
      </w:r>
    </w:p>
    <w:sectPr w:rsidR="00095FEF" w:rsidRPr="00095F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55DD2"/>
    <w:multiLevelType w:val="hybridMultilevel"/>
    <w:tmpl w:val="29D4F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5F708C"/>
    <w:multiLevelType w:val="hybridMultilevel"/>
    <w:tmpl w:val="D36ED30E"/>
    <w:lvl w:ilvl="0" w:tplc="61C2ADF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A43"/>
    <w:rsid w:val="00095FEF"/>
    <w:rsid w:val="00301A43"/>
    <w:rsid w:val="004A0105"/>
    <w:rsid w:val="00D378F6"/>
    <w:rsid w:val="00EB0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09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09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mfletcher</dc:creator>
  <cp:lastModifiedBy>mfletcher</cp:lastModifiedBy>
  <cp:revision>2</cp:revision>
  <dcterms:created xsi:type="dcterms:W3CDTF">2014-10-24T12:12:00Z</dcterms:created>
  <dcterms:modified xsi:type="dcterms:W3CDTF">2014-10-24T12:43:00Z</dcterms:modified>
</cp:coreProperties>
</file>