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B6" w:rsidRPr="003337AF" w:rsidRDefault="00DD4AB6" w:rsidP="00DD4AB6">
      <w:pPr>
        <w:pStyle w:val="BodyA"/>
        <w:rPr>
          <w:rFonts w:hAnsi="Times New Roman" w:cs="Times New Roman"/>
          <w:b/>
          <w:bCs/>
        </w:rPr>
      </w:pPr>
      <w:r w:rsidRPr="003337AF">
        <w:rPr>
          <w:rFonts w:hAnsi="Times New Roman" w:cs="Times New Roman"/>
        </w:rPr>
        <w:t xml:space="preserve">                                          </w:t>
      </w:r>
      <w:r w:rsidRPr="003337AF">
        <w:rPr>
          <w:rFonts w:hAnsi="Times New Roman" w:cs="Times New Roman"/>
          <w:b/>
          <w:bCs/>
        </w:rPr>
        <w:t xml:space="preserve">  </w:t>
      </w:r>
      <w:proofErr w:type="gramStart"/>
      <w:r w:rsidRPr="003337AF">
        <w:rPr>
          <w:rFonts w:hAnsi="Times New Roman" w:cs="Times New Roman"/>
          <w:b/>
          <w:bCs/>
        </w:rPr>
        <w:t>REMLEY  DETERMINATION</w:t>
      </w:r>
      <w:proofErr w:type="gramEnd"/>
    </w:p>
    <w:p w:rsidR="00DD4AB6" w:rsidRPr="003337AF" w:rsidRDefault="00DD4AB6" w:rsidP="00DD4AB6">
      <w:pPr>
        <w:pStyle w:val="BodyA"/>
        <w:rPr>
          <w:rFonts w:hAnsi="Times New Roman" w:cs="Times New Roman"/>
          <w:b/>
          <w:bCs/>
        </w:rPr>
      </w:pPr>
    </w:p>
    <w:p w:rsidR="00DD4AB6" w:rsidRPr="003337AF" w:rsidRDefault="00DD4AB6" w:rsidP="00DD4AB6">
      <w:pPr>
        <w:pStyle w:val="BodyA"/>
        <w:rPr>
          <w:rFonts w:hAnsi="Times New Roman" w:cs="Times New Roman"/>
          <w:b/>
          <w:bCs/>
        </w:rPr>
      </w:pPr>
    </w:p>
    <w:p w:rsidR="00DD4AB6" w:rsidRPr="003337AF" w:rsidRDefault="00DD4AB6" w:rsidP="00DD4AB6">
      <w:pPr>
        <w:pStyle w:val="BodyA"/>
        <w:rPr>
          <w:rFonts w:hAnsi="Times New Roman" w:cs="Times New Roman"/>
        </w:rPr>
      </w:pPr>
      <w:r w:rsidRPr="003337AF">
        <w:rPr>
          <w:rFonts w:hAnsi="Times New Roman" w:cs="Times New Roman"/>
        </w:rPr>
        <w:t xml:space="preserve">Mr. Wright moved, seconded by Ms. Palmer, that the area variance requested by David and Cynthia </w:t>
      </w:r>
      <w:proofErr w:type="spellStart"/>
      <w:r w:rsidRPr="003337AF">
        <w:rPr>
          <w:rFonts w:hAnsi="Times New Roman" w:cs="Times New Roman"/>
        </w:rPr>
        <w:t>Remley</w:t>
      </w:r>
      <w:proofErr w:type="spellEnd"/>
      <w:r w:rsidRPr="003337AF">
        <w:rPr>
          <w:rFonts w:hAnsi="Times New Roman" w:cs="Times New Roman"/>
        </w:rPr>
        <w:t>, 437 Pond Road, Honeoye Falls, NY for a variance at said property, consisting of 19.84 acres, bearing Tax Account No. 205.03-1-13.1, located in an RA-5 zone to allow a setback of approximately 70 feet on the east property line for construction of an indoor riding arena, which will be attached to the barn, whereas Town Code requires a 150 foot setback for a structure housing more than 5 animals, be approved based on the following findings of fact and conclusions of law:</w:t>
      </w:r>
    </w:p>
    <w:p w:rsidR="00DD4AB6" w:rsidRPr="003337AF" w:rsidRDefault="00DD4AB6" w:rsidP="00DD4AB6">
      <w:pPr>
        <w:pStyle w:val="BodyA"/>
        <w:rPr>
          <w:rFonts w:hAnsi="Times New Roman" w:cs="Times New Roman"/>
        </w:rPr>
      </w:pPr>
    </w:p>
    <w:p w:rsidR="00DD4AB6" w:rsidRPr="00DD4AB6" w:rsidRDefault="00DD4AB6" w:rsidP="00DD4AB6">
      <w:pPr>
        <w:pStyle w:val="BodyA"/>
        <w:rPr>
          <w:rFonts w:hAnsi="Times New Roman" w:cs="Times New Roman"/>
          <w:b/>
          <w:u w:val="single"/>
        </w:rPr>
      </w:pPr>
      <w:bookmarkStart w:id="0" w:name="_GoBack"/>
      <w:r w:rsidRPr="00DD4AB6">
        <w:rPr>
          <w:rFonts w:hAnsi="Times New Roman" w:cs="Times New Roman"/>
          <w:b/>
          <w:u w:val="single"/>
        </w:rPr>
        <w:t>FINDINGS OF FACT</w:t>
      </w:r>
    </w:p>
    <w:bookmarkEnd w:id="0"/>
    <w:p w:rsidR="00DD4AB6" w:rsidRPr="003337AF" w:rsidRDefault="00DD4AB6" w:rsidP="00DD4AB6">
      <w:pPr>
        <w:pStyle w:val="BodyA"/>
        <w:rPr>
          <w:rFonts w:hAnsi="Times New Roman" w:cs="Times New Roman"/>
        </w:rPr>
      </w:pPr>
    </w:p>
    <w:p w:rsidR="00DD4AB6" w:rsidRPr="003337AF" w:rsidRDefault="00DD4AB6" w:rsidP="00DD4AB6">
      <w:pPr>
        <w:pStyle w:val="BodyA"/>
        <w:numPr>
          <w:ilvl w:val="0"/>
          <w:numId w:val="1"/>
        </w:numPr>
        <w:rPr>
          <w:rFonts w:hAnsi="Times New Roman" w:cs="Times New Roman"/>
        </w:rPr>
      </w:pPr>
      <w:r w:rsidRPr="003337AF">
        <w:rPr>
          <w:rFonts w:hAnsi="Times New Roman" w:cs="Times New Roman"/>
        </w:rPr>
        <w:t xml:space="preserve">David and Cynthia </w:t>
      </w:r>
      <w:proofErr w:type="spellStart"/>
      <w:r w:rsidRPr="003337AF">
        <w:rPr>
          <w:rFonts w:hAnsi="Times New Roman" w:cs="Times New Roman"/>
        </w:rPr>
        <w:t>Remley</w:t>
      </w:r>
      <w:proofErr w:type="spellEnd"/>
      <w:r w:rsidRPr="003337AF">
        <w:rPr>
          <w:rFonts w:hAnsi="Times New Roman" w:cs="Times New Roman"/>
        </w:rPr>
        <w:t xml:space="preserve"> appeared before the Zoning Board of Appeals at the public hearing on June 25 2015.</w:t>
      </w:r>
    </w:p>
    <w:p w:rsidR="00DD4AB6" w:rsidRPr="003337AF" w:rsidRDefault="00DD4AB6" w:rsidP="00DD4AB6">
      <w:pPr>
        <w:pStyle w:val="BodyA"/>
        <w:numPr>
          <w:ilvl w:val="0"/>
          <w:numId w:val="1"/>
        </w:numPr>
        <w:rPr>
          <w:rFonts w:hAnsi="Times New Roman" w:cs="Times New Roman"/>
        </w:rPr>
      </w:pPr>
      <w:r w:rsidRPr="003337AF">
        <w:rPr>
          <w:rFonts w:hAnsi="Times New Roman" w:cs="Times New Roman"/>
        </w:rPr>
        <w:t xml:space="preserve">The </w:t>
      </w:r>
      <w:proofErr w:type="spellStart"/>
      <w:r w:rsidRPr="003337AF">
        <w:rPr>
          <w:rFonts w:hAnsi="Times New Roman" w:cs="Times New Roman"/>
        </w:rPr>
        <w:t>Remley</w:t>
      </w:r>
      <w:proofErr w:type="spellEnd"/>
      <w:r w:rsidRPr="003337AF">
        <w:rPr>
          <w:rFonts w:hAnsi="Times New Roman" w:cs="Times New Roman"/>
        </w:rPr>
        <w:t xml:space="preserve"> property at 437 Pond Road is a classic example of a 19th century rural Mendon property. The homestead is a cobblestone and frame structure built at the time of the construction of the Erie Canal. The homestead is to the west of the existing barns and the proposed riding arena, with a clear view over fenced pastures to the south.</w:t>
      </w:r>
    </w:p>
    <w:p w:rsidR="00DD4AB6" w:rsidRPr="003337AF" w:rsidRDefault="00DD4AB6" w:rsidP="00DD4AB6">
      <w:pPr>
        <w:pStyle w:val="BodyA"/>
        <w:numPr>
          <w:ilvl w:val="0"/>
          <w:numId w:val="1"/>
        </w:numPr>
        <w:rPr>
          <w:rFonts w:hAnsi="Times New Roman" w:cs="Times New Roman"/>
        </w:rPr>
      </w:pPr>
      <w:r w:rsidRPr="003337AF">
        <w:rPr>
          <w:rFonts w:hAnsi="Times New Roman" w:cs="Times New Roman"/>
        </w:rPr>
        <w:t>The existing barns are slightly prior non-conforming, with their southeast corner approximately 145 feet from the property line.</w:t>
      </w:r>
    </w:p>
    <w:p w:rsidR="00DD4AB6" w:rsidRPr="003337AF" w:rsidRDefault="00DD4AB6" w:rsidP="00DD4AB6">
      <w:pPr>
        <w:pStyle w:val="BodyA"/>
        <w:numPr>
          <w:ilvl w:val="0"/>
          <w:numId w:val="1"/>
        </w:numPr>
        <w:rPr>
          <w:rFonts w:hAnsi="Times New Roman" w:cs="Times New Roman"/>
        </w:rPr>
      </w:pPr>
      <w:r w:rsidRPr="003337AF">
        <w:rPr>
          <w:rFonts w:hAnsi="Times New Roman" w:cs="Times New Roman"/>
        </w:rPr>
        <w:t>The proposed barn expansion is to the south of the existing barn and connected to it. The proposed riding arena is to the east of barn expansion, and connected to the barn addition. The purpose is to create an all-weather equestrian facility.</w:t>
      </w:r>
    </w:p>
    <w:p w:rsidR="00DD4AB6" w:rsidRPr="003337AF" w:rsidRDefault="00DD4AB6" w:rsidP="00DD4AB6">
      <w:pPr>
        <w:pStyle w:val="BodyA"/>
        <w:numPr>
          <w:ilvl w:val="0"/>
          <w:numId w:val="2"/>
        </w:numPr>
        <w:rPr>
          <w:rFonts w:hAnsi="Times New Roman" w:cs="Times New Roman"/>
        </w:rPr>
      </w:pPr>
      <w:r w:rsidRPr="003337AF">
        <w:rPr>
          <w:rFonts w:hAnsi="Times New Roman" w:cs="Times New Roman"/>
        </w:rPr>
        <w:t>The homestead, existing barn, proposed barn, and proposed riding arena are all parallel to or perpendicular to Pond Road. The east property line, however, does not come off Pond Road at a 90 degree angle; the angle is about 70-75 degrees toward the west. Hence the further south the proposed riding arena is located, the closer it gets to the east property line.</w:t>
      </w:r>
    </w:p>
    <w:p w:rsidR="00DD4AB6" w:rsidRPr="003337AF" w:rsidRDefault="00DD4AB6" w:rsidP="00DD4AB6">
      <w:pPr>
        <w:pStyle w:val="BodyA"/>
        <w:numPr>
          <w:ilvl w:val="0"/>
          <w:numId w:val="3"/>
        </w:numPr>
        <w:rPr>
          <w:rFonts w:hAnsi="Times New Roman" w:cs="Times New Roman"/>
        </w:rPr>
      </w:pPr>
      <w:r w:rsidRPr="003337AF">
        <w:rPr>
          <w:rFonts w:hAnsi="Times New Roman" w:cs="Times New Roman"/>
        </w:rPr>
        <w:t xml:space="preserve"> The east property line is basically parallel to a stream on the adjoining property. The stream in the area of the proposed riding arena would be about 150 feet from the closest building corner. The adjoining property in the area of the stream is undeveloped, and the nearest home is not visible. In effect, the stream creates a natural buffer on the east side of the </w:t>
      </w:r>
      <w:proofErr w:type="spellStart"/>
      <w:r w:rsidRPr="003337AF">
        <w:rPr>
          <w:rFonts w:hAnsi="Times New Roman" w:cs="Times New Roman"/>
        </w:rPr>
        <w:t>Remley</w:t>
      </w:r>
      <w:proofErr w:type="spellEnd"/>
      <w:r w:rsidRPr="003337AF">
        <w:rPr>
          <w:rFonts w:hAnsi="Times New Roman" w:cs="Times New Roman"/>
        </w:rPr>
        <w:t xml:space="preserve"> property.</w:t>
      </w:r>
    </w:p>
    <w:p w:rsidR="00DD4AB6" w:rsidRPr="003337AF" w:rsidRDefault="00DD4AB6" w:rsidP="00DD4AB6">
      <w:pPr>
        <w:pStyle w:val="BodyA"/>
        <w:numPr>
          <w:ilvl w:val="0"/>
          <w:numId w:val="3"/>
        </w:numPr>
        <w:rPr>
          <w:rFonts w:hAnsi="Times New Roman" w:cs="Times New Roman"/>
        </w:rPr>
      </w:pPr>
      <w:r w:rsidRPr="003337AF">
        <w:rPr>
          <w:rFonts w:hAnsi="Times New Roman" w:cs="Times New Roman"/>
        </w:rPr>
        <w:t xml:space="preserve">The proposed riding arena building plan includes provision for </w:t>
      </w:r>
      <w:proofErr w:type="spellStart"/>
      <w:r w:rsidRPr="003337AF">
        <w:rPr>
          <w:rFonts w:hAnsi="Times New Roman" w:cs="Times New Roman"/>
        </w:rPr>
        <w:t>stormwater</w:t>
      </w:r>
      <w:proofErr w:type="spellEnd"/>
      <w:r w:rsidRPr="003337AF">
        <w:rPr>
          <w:rFonts w:hAnsi="Times New Roman" w:cs="Times New Roman"/>
        </w:rPr>
        <w:t xml:space="preserve"> drain tiles to mitigate the flow from the roof. Other areas on the </w:t>
      </w:r>
      <w:proofErr w:type="spellStart"/>
      <w:r w:rsidRPr="003337AF">
        <w:rPr>
          <w:rFonts w:hAnsi="Times New Roman" w:cs="Times New Roman"/>
        </w:rPr>
        <w:t>Remley</w:t>
      </w:r>
      <w:proofErr w:type="spellEnd"/>
      <w:r w:rsidRPr="003337AF">
        <w:rPr>
          <w:rFonts w:hAnsi="Times New Roman" w:cs="Times New Roman"/>
        </w:rPr>
        <w:t xml:space="preserve"> property are not as easily drained, and would require fill for construction.</w:t>
      </w:r>
    </w:p>
    <w:p w:rsidR="00DD4AB6" w:rsidRPr="003337AF" w:rsidRDefault="00DD4AB6" w:rsidP="00DD4AB6">
      <w:pPr>
        <w:pStyle w:val="BodyA"/>
        <w:ind w:left="360"/>
        <w:rPr>
          <w:rFonts w:hAnsi="Times New Roman" w:cs="Times New Roman"/>
        </w:rPr>
      </w:pPr>
    </w:p>
    <w:p w:rsidR="00DD4AB6" w:rsidRPr="003337AF" w:rsidRDefault="00DD4AB6" w:rsidP="00DD4AB6">
      <w:pPr>
        <w:pStyle w:val="BodyA"/>
        <w:rPr>
          <w:rFonts w:hAnsi="Times New Roman" w:cs="Times New Roman"/>
        </w:rPr>
      </w:pPr>
    </w:p>
    <w:p w:rsidR="00DD4AB6" w:rsidRPr="003337AF" w:rsidRDefault="00DD4AB6" w:rsidP="00DD4AB6">
      <w:pPr>
        <w:pStyle w:val="BodyA"/>
        <w:rPr>
          <w:rFonts w:hAnsi="Times New Roman" w:cs="Times New Roman"/>
          <w:b/>
          <w:u w:val="single"/>
        </w:rPr>
      </w:pPr>
      <w:r w:rsidRPr="003337AF">
        <w:rPr>
          <w:rFonts w:hAnsi="Times New Roman" w:cs="Times New Roman"/>
          <w:b/>
          <w:u w:val="single"/>
        </w:rPr>
        <w:t>CONCLUSIONS OF LAW</w:t>
      </w:r>
    </w:p>
    <w:p w:rsidR="00DD4AB6" w:rsidRPr="003337AF" w:rsidRDefault="00DD4AB6" w:rsidP="00DD4AB6">
      <w:pPr>
        <w:pStyle w:val="BodyA"/>
        <w:rPr>
          <w:rFonts w:hAnsi="Times New Roman" w:cs="Times New Roman"/>
        </w:rPr>
      </w:pPr>
    </w:p>
    <w:p w:rsidR="00DD4AB6" w:rsidRPr="003337AF" w:rsidRDefault="00DD4AB6" w:rsidP="00DD4AB6">
      <w:pPr>
        <w:pStyle w:val="BodyA"/>
        <w:numPr>
          <w:ilvl w:val="0"/>
          <w:numId w:val="4"/>
        </w:numPr>
        <w:rPr>
          <w:rFonts w:hAnsi="Times New Roman" w:cs="Times New Roman"/>
        </w:rPr>
      </w:pPr>
      <w:r w:rsidRPr="003337AF">
        <w:rPr>
          <w:rFonts w:hAnsi="Times New Roman" w:cs="Times New Roman"/>
        </w:rPr>
        <w:t xml:space="preserve">The benefit David and Cynthia </w:t>
      </w:r>
      <w:proofErr w:type="spellStart"/>
      <w:r w:rsidRPr="003337AF">
        <w:rPr>
          <w:rFonts w:hAnsi="Times New Roman" w:cs="Times New Roman"/>
        </w:rPr>
        <w:t>Remley</w:t>
      </w:r>
      <w:proofErr w:type="spellEnd"/>
      <w:r w:rsidRPr="003337AF">
        <w:rPr>
          <w:rFonts w:hAnsi="Times New Roman" w:cs="Times New Roman"/>
        </w:rPr>
        <w:t xml:space="preserve"> are attempting to achieve cannot be achieved by other means, and is consistent with the Town of Mendon Comprehensive Plan regarding historic preservation and scenic vistas.</w:t>
      </w:r>
    </w:p>
    <w:p w:rsidR="00DD4AB6" w:rsidRPr="003337AF" w:rsidRDefault="00DD4AB6" w:rsidP="00DD4AB6">
      <w:pPr>
        <w:pStyle w:val="BodyA"/>
        <w:numPr>
          <w:ilvl w:val="0"/>
          <w:numId w:val="4"/>
        </w:numPr>
        <w:rPr>
          <w:rFonts w:hAnsi="Times New Roman" w:cs="Times New Roman"/>
        </w:rPr>
      </w:pPr>
      <w:r w:rsidRPr="003337AF">
        <w:rPr>
          <w:rFonts w:hAnsi="Times New Roman" w:cs="Times New Roman"/>
        </w:rPr>
        <w:t xml:space="preserve">The granting of this variance will not create an undesirable change in neighborhood character or to nearby properties. </w:t>
      </w:r>
    </w:p>
    <w:p w:rsidR="00DD4AB6" w:rsidRPr="003337AF" w:rsidRDefault="00DD4AB6" w:rsidP="00DD4AB6">
      <w:pPr>
        <w:pStyle w:val="BodyA"/>
        <w:numPr>
          <w:ilvl w:val="0"/>
          <w:numId w:val="4"/>
        </w:numPr>
        <w:rPr>
          <w:rFonts w:hAnsi="Times New Roman" w:cs="Times New Roman"/>
        </w:rPr>
      </w:pPr>
      <w:r w:rsidRPr="003337AF">
        <w:rPr>
          <w:rFonts w:hAnsi="Times New Roman" w:cs="Times New Roman"/>
        </w:rPr>
        <w:lastRenderedPageBreak/>
        <w:t>The request is substantial.</w:t>
      </w:r>
    </w:p>
    <w:p w:rsidR="00DD4AB6" w:rsidRPr="003337AF" w:rsidRDefault="00DD4AB6" w:rsidP="00DD4AB6">
      <w:pPr>
        <w:pStyle w:val="BodyA"/>
        <w:numPr>
          <w:ilvl w:val="0"/>
          <w:numId w:val="4"/>
        </w:numPr>
        <w:rPr>
          <w:rFonts w:hAnsi="Times New Roman" w:cs="Times New Roman"/>
        </w:rPr>
      </w:pPr>
      <w:r w:rsidRPr="003337AF">
        <w:rPr>
          <w:rFonts w:hAnsi="Times New Roman" w:cs="Times New Roman"/>
        </w:rPr>
        <w:t>The request will not have adverse physical or environmental effects.</w:t>
      </w:r>
    </w:p>
    <w:p w:rsidR="00DD4AB6" w:rsidRPr="003337AF" w:rsidRDefault="00DD4AB6" w:rsidP="00DD4AB6">
      <w:pPr>
        <w:pStyle w:val="BodyA"/>
        <w:numPr>
          <w:ilvl w:val="0"/>
          <w:numId w:val="4"/>
        </w:numPr>
        <w:rPr>
          <w:rFonts w:hAnsi="Times New Roman" w:cs="Times New Roman"/>
        </w:rPr>
      </w:pPr>
      <w:r w:rsidRPr="003337AF">
        <w:rPr>
          <w:rFonts w:hAnsi="Times New Roman" w:cs="Times New Roman"/>
        </w:rPr>
        <w:t>The difficulty is self-created.</w:t>
      </w:r>
    </w:p>
    <w:p w:rsidR="00DD4AB6" w:rsidRPr="003337AF" w:rsidRDefault="00DD4AB6" w:rsidP="00DD4AB6">
      <w:pPr>
        <w:pStyle w:val="BodyA"/>
        <w:numPr>
          <w:ilvl w:val="0"/>
          <w:numId w:val="4"/>
        </w:numPr>
        <w:rPr>
          <w:rFonts w:hAnsi="Times New Roman" w:cs="Times New Roman"/>
        </w:rPr>
      </w:pPr>
      <w:r w:rsidRPr="003337AF">
        <w:rPr>
          <w:rFonts w:hAnsi="Times New Roman" w:cs="Times New Roman"/>
        </w:rPr>
        <w:t>This is Type II action under SEQR.</w:t>
      </w:r>
    </w:p>
    <w:p w:rsidR="00867153" w:rsidRDefault="00867153"/>
    <w:sectPr w:rsidR="00867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1">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2">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3">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B6"/>
    <w:rsid w:val="00867153"/>
    <w:rsid w:val="00DD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D4AB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DD4AB6"/>
    <w:pPr>
      <w:numPr>
        <w:numId w:val="1"/>
      </w:numPr>
    </w:pPr>
  </w:style>
  <w:style w:type="numbering" w:customStyle="1" w:styleId="List1">
    <w:name w:val="List 1"/>
    <w:basedOn w:val="NoList"/>
    <w:rsid w:val="00DD4AB6"/>
    <w:pPr>
      <w:numPr>
        <w:numId w:val="2"/>
      </w:numPr>
    </w:pPr>
  </w:style>
  <w:style w:type="numbering" w:customStyle="1" w:styleId="List21">
    <w:name w:val="List 21"/>
    <w:basedOn w:val="NoList"/>
    <w:rsid w:val="00DD4AB6"/>
    <w:pPr>
      <w:numPr>
        <w:numId w:val="3"/>
      </w:numPr>
    </w:pPr>
  </w:style>
  <w:style w:type="numbering" w:customStyle="1" w:styleId="List31">
    <w:name w:val="List 31"/>
    <w:basedOn w:val="NoList"/>
    <w:rsid w:val="00DD4AB6"/>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DD4AB6"/>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DD4AB6"/>
    <w:pPr>
      <w:numPr>
        <w:numId w:val="1"/>
      </w:numPr>
    </w:pPr>
  </w:style>
  <w:style w:type="numbering" w:customStyle="1" w:styleId="List1">
    <w:name w:val="List 1"/>
    <w:basedOn w:val="NoList"/>
    <w:rsid w:val="00DD4AB6"/>
    <w:pPr>
      <w:numPr>
        <w:numId w:val="2"/>
      </w:numPr>
    </w:pPr>
  </w:style>
  <w:style w:type="numbering" w:customStyle="1" w:styleId="List21">
    <w:name w:val="List 21"/>
    <w:basedOn w:val="NoList"/>
    <w:rsid w:val="00DD4AB6"/>
    <w:pPr>
      <w:numPr>
        <w:numId w:val="3"/>
      </w:numPr>
    </w:pPr>
  </w:style>
  <w:style w:type="numbering" w:customStyle="1" w:styleId="List31">
    <w:name w:val="List 31"/>
    <w:basedOn w:val="NoList"/>
    <w:rsid w:val="00DD4AB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cp:revision>
  <dcterms:created xsi:type="dcterms:W3CDTF">2015-06-29T17:25:00Z</dcterms:created>
  <dcterms:modified xsi:type="dcterms:W3CDTF">2015-06-29T17:25:00Z</dcterms:modified>
</cp:coreProperties>
</file>