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41" w:rsidRPr="00B60F29" w:rsidRDefault="00F43441" w:rsidP="00F43441">
      <w:pPr>
        <w:pStyle w:val="Header"/>
        <w:spacing w:before="156"/>
        <w:jc w:val="center"/>
        <w:rPr>
          <w:rFonts w:ascii="Times New Roman" w:hAnsi="Times New Roman" w:cs="Times New Roman"/>
          <w:b/>
          <w:sz w:val="24"/>
          <w:szCs w:val="24"/>
          <w:u w:val="single"/>
        </w:rPr>
      </w:pPr>
      <w:bookmarkStart w:id="0" w:name="_GoBack"/>
      <w:bookmarkEnd w:id="0"/>
      <w:r w:rsidRPr="00B60F29">
        <w:rPr>
          <w:rFonts w:ascii="Times New Roman" w:hAnsi="Times New Roman" w:cs="Times New Roman"/>
          <w:b/>
          <w:bCs/>
          <w:sz w:val="24"/>
          <w:szCs w:val="24"/>
          <w:u w:val="single"/>
        </w:rPr>
        <w:t>TRUMBULL/VANDEWATER AREA VARIANCE DETERMINATION</w:t>
      </w:r>
    </w:p>
    <w:p w:rsidR="00F43441" w:rsidRPr="00B60F29" w:rsidRDefault="00F43441" w:rsidP="00F43441">
      <w:pPr>
        <w:pStyle w:val="Header"/>
        <w:spacing w:before="156"/>
        <w:rPr>
          <w:rFonts w:ascii="Times New Roman" w:hAnsi="Times New Roman" w:cs="Times New Roman"/>
          <w:sz w:val="24"/>
          <w:szCs w:val="24"/>
        </w:rPr>
      </w:pPr>
      <w:r w:rsidRPr="00B60F29">
        <w:rPr>
          <w:rFonts w:ascii="Times New Roman" w:hAnsi="Times New Roman" w:cs="Times New Roman"/>
          <w:sz w:val="24"/>
          <w:szCs w:val="24"/>
        </w:rPr>
        <w:t xml:space="preserve">Mr. Peckham moved, seconded by Mr. Lacey, that the area variance requested by Amber Trumbull and Nathan </w:t>
      </w:r>
      <w:proofErr w:type="spellStart"/>
      <w:r w:rsidRPr="00B60F29">
        <w:rPr>
          <w:rFonts w:ascii="Times New Roman" w:hAnsi="Times New Roman" w:cs="Times New Roman"/>
          <w:sz w:val="24"/>
          <w:szCs w:val="24"/>
        </w:rPr>
        <w:t>Vandewater</w:t>
      </w:r>
      <w:proofErr w:type="spellEnd"/>
      <w:r w:rsidRPr="00B60F29">
        <w:rPr>
          <w:rFonts w:ascii="Times New Roman" w:hAnsi="Times New Roman" w:cs="Times New Roman"/>
          <w:sz w:val="24"/>
          <w:szCs w:val="24"/>
        </w:rPr>
        <w:t xml:space="preserve"> (Applicants), 358 Parrish Road, Mendon, NY, consisting of 2.19 acres, bearing Tax Account No. 230.02-1-5.4, located in an RA-1 zone requesting an area variance to build a pool house/accessory structure, be approved based on the following findings of fact and conclusions of law:</w:t>
      </w:r>
    </w:p>
    <w:p w:rsidR="00F43441" w:rsidRPr="00B60F29" w:rsidRDefault="00F43441" w:rsidP="00F43441">
      <w:pPr>
        <w:pStyle w:val="Standard"/>
        <w:spacing w:before="156"/>
        <w:rPr>
          <w:rFonts w:cs="Times New Roman"/>
          <w:b/>
          <w:u w:val="single"/>
        </w:rPr>
      </w:pPr>
      <w:r w:rsidRPr="00B60F29">
        <w:rPr>
          <w:rFonts w:cs="Times New Roman"/>
          <w:b/>
          <w:u w:val="single"/>
        </w:rPr>
        <w:t>FINDINGS OF FACT</w:t>
      </w:r>
    </w:p>
    <w:p w:rsidR="00F43441" w:rsidRPr="00B60F29" w:rsidRDefault="00F43441" w:rsidP="00F43441">
      <w:pPr>
        <w:pStyle w:val="Standard"/>
        <w:numPr>
          <w:ilvl w:val="0"/>
          <w:numId w:val="1"/>
        </w:numPr>
        <w:spacing w:before="156"/>
        <w:rPr>
          <w:rFonts w:cs="Times New Roman"/>
        </w:rPr>
      </w:pPr>
      <w:r w:rsidRPr="00B60F29">
        <w:rPr>
          <w:rFonts w:cs="Times New Roman"/>
        </w:rPr>
        <w:t xml:space="preserve">Applicants, appeared before the Zoning Board of Appeals at the public hearing on Thursday, August 24, 2017 meeting.  </w:t>
      </w:r>
    </w:p>
    <w:p w:rsidR="00F43441" w:rsidRPr="00B60F29" w:rsidRDefault="00F43441" w:rsidP="00F43441">
      <w:pPr>
        <w:pStyle w:val="Standard"/>
        <w:numPr>
          <w:ilvl w:val="0"/>
          <w:numId w:val="1"/>
        </w:numPr>
        <w:spacing w:before="156"/>
        <w:rPr>
          <w:rFonts w:cs="Times New Roman"/>
        </w:rPr>
      </w:pPr>
      <w:r w:rsidRPr="00B60F29">
        <w:rPr>
          <w:rFonts w:cs="Times New Roman"/>
        </w:rPr>
        <w:t>Applicants have requested an area variance to construct a pool house/accessory structure on their property of approximately 15’ x 15’, or 225 square feet.</w:t>
      </w:r>
    </w:p>
    <w:p w:rsidR="00F43441" w:rsidRPr="00B60F29" w:rsidRDefault="00F43441" w:rsidP="00F43441">
      <w:pPr>
        <w:pStyle w:val="Standard"/>
        <w:numPr>
          <w:ilvl w:val="0"/>
          <w:numId w:val="1"/>
        </w:numPr>
        <w:spacing w:before="156"/>
        <w:rPr>
          <w:rFonts w:cs="Times New Roman"/>
        </w:rPr>
      </w:pPr>
      <w:r w:rsidRPr="00B60F29">
        <w:rPr>
          <w:rFonts w:cs="Times New Roman"/>
        </w:rPr>
        <w:t>A pole barn accessory structure already exists on the parcel consisting of 900 square feet.</w:t>
      </w:r>
    </w:p>
    <w:p w:rsidR="00F43441" w:rsidRPr="00B60F29" w:rsidRDefault="00F43441" w:rsidP="00F43441">
      <w:pPr>
        <w:pStyle w:val="Standard"/>
        <w:numPr>
          <w:ilvl w:val="0"/>
          <w:numId w:val="1"/>
        </w:numPr>
        <w:spacing w:before="156"/>
        <w:rPr>
          <w:rFonts w:cs="Times New Roman"/>
        </w:rPr>
      </w:pPr>
      <w:r w:rsidRPr="00B60F29">
        <w:rPr>
          <w:rFonts w:cs="Times New Roman"/>
        </w:rPr>
        <w:t>Town Code Section 200(8</w:t>
      </w:r>
      <w:proofErr w:type="gramStart"/>
      <w:r w:rsidRPr="00B60F29">
        <w:rPr>
          <w:rFonts w:cs="Times New Roman"/>
        </w:rPr>
        <w:t>)(</w:t>
      </w:r>
      <w:proofErr w:type="gramEnd"/>
      <w:r w:rsidRPr="00B60F29">
        <w:rPr>
          <w:rFonts w:cs="Times New Roman"/>
        </w:rPr>
        <w:t>c)(3) provides that accessory structures in an RA-1 shall not exceed 1% of the total area of the lot. The total lot size is 92,739 square feet, leaving 927.39 square feet available for accessory structures.  The existing pole barn (900 square feet) and the proposed pool house (225 square feet) combined would exceed the allowable accessory structure allowance by 197.61 square feet.  Total percentage of lot accessory structure would be 1.21%.</w:t>
      </w:r>
    </w:p>
    <w:p w:rsidR="00F43441" w:rsidRPr="00B60F29" w:rsidRDefault="00F43441" w:rsidP="00F43441">
      <w:pPr>
        <w:pStyle w:val="Standard"/>
        <w:numPr>
          <w:ilvl w:val="0"/>
          <w:numId w:val="1"/>
        </w:numPr>
        <w:spacing w:before="156"/>
        <w:rPr>
          <w:rFonts w:cs="Times New Roman"/>
        </w:rPr>
      </w:pPr>
      <w:r w:rsidRPr="00B60F29">
        <w:rPr>
          <w:rFonts w:cs="Times New Roman"/>
        </w:rPr>
        <w:t xml:space="preserve">The proposed pool house would be relatively small and used primarily for storage of pool equipment and a bar. </w:t>
      </w:r>
    </w:p>
    <w:p w:rsidR="00F43441" w:rsidRPr="00B60F29" w:rsidRDefault="00F43441" w:rsidP="00F43441">
      <w:pPr>
        <w:pStyle w:val="Standard"/>
        <w:numPr>
          <w:ilvl w:val="0"/>
          <w:numId w:val="1"/>
        </w:numPr>
        <w:spacing w:before="156"/>
        <w:rPr>
          <w:rFonts w:cs="Times New Roman"/>
        </w:rPr>
      </w:pPr>
      <w:r w:rsidRPr="00B60F29">
        <w:rPr>
          <w:rFonts w:cs="Times New Roman"/>
        </w:rPr>
        <w:t>It is planned that the proposed pool house would have a lavatory facility to be connected to the septic system.</w:t>
      </w:r>
    </w:p>
    <w:p w:rsidR="00F43441" w:rsidRPr="00B60F29" w:rsidRDefault="00F43441" w:rsidP="00F43441">
      <w:pPr>
        <w:pStyle w:val="Standard"/>
        <w:numPr>
          <w:ilvl w:val="0"/>
          <w:numId w:val="1"/>
        </w:numPr>
        <w:spacing w:before="156"/>
        <w:rPr>
          <w:rFonts w:cs="Times New Roman"/>
        </w:rPr>
      </w:pPr>
      <w:r w:rsidRPr="00B60F29">
        <w:rPr>
          <w:rFonts w:cs="Times New Roman"/>
        </w:rPr>
        <w:t>No members of the public commented during the public hearing.</w:t>
      </w:r>
    </w:p>
    <w:p w:rsidR="00F43441" w:rsidRPr="00B60F29" w:rsidRDefault="00F43441" w:rsidP="00F43441">
      <w:pPr>
        <w:pStyle w:val="Standard"/>
        <w:spacing w:before="156"/>
        <w:rPr>
          <w:rFonts w:cs="Times New Roman"/>
        </w:rPr>
      </w:pPr>
      <w:r w:rsidRPr="00B60F29">
        <w:rPr>
          <w:rFonts w:cs="Times New Roman"/>
          <w:b/>
          <w:u w:val="single"/>
        </w:rPr>
        <w:t>CONCLUSIONS OF LAW</w:t>
      </w:r>
      <w:r w:rsidRPr="00B60F29">
        <w:rPr>
          <w:rFonts w:cs="Times New Roman"/>
        </w:rPr>
        <w:t xml:space="preserve">     </w:t>
      </w:r>
    </w:p>
    <w:p w:rsidR="00F43441" w:rsidRPr="00B60F29" w:rsidRDefault="00F43441" w:rsidP="00F43441">
      <w:pPr>
        <w:pStyle w:val="Standard"/>
        <w:numPr>
          <w:ilvl w:val="0"/>
          <w:numId w:val="2"/>
        </w:numPr>
        <w:spacing w:before="156"/>
        <w:rPr>
          <w:rFonts w:cs="Times New Roman"/>
        </w:rPr>
      </w:pPr>
      <w:r w:rsidRPr="00B60F29">
        <w:rPr>
          <w:rFonts w:cs="Times New Roman"/>
        </w:rPr>
        <w:t>The requested benefit can</w:t>
      </w:r>
      <w:r w:rsidRPr="00B60F29">
        <w:rPr>
          <w:rFonts w:cs="Times New Roman"/>
          <w:bCs/>
        </w:rPr>
        <w:t>not</w:t>
      </w:r>
      <w:r w:rsidRPr="00B60F29">
        <w:rPr>
          <w:rFonts w:cs="Times New Roman"/>
        </w:rPr>
        <w:t xml:space="preserve"> be achieved by other feasible means within the limits of the code accessory building limit.  </w:t>
      </w:r>
    </w:p>
    <w:p w:rsidR="00F43441" w:rsidRPr="00B60F29" w:rsidRDefault="00F43441" w:rsidP="00F43441">
      <w:pPr>
        <w:pStyle w:val="Standard"/>
        <w:numPr>
          <w:ilvl w:val="0"/>
          <w:numId w:val="2"/>
        </w:numPr>
        <w:spacing w:before="156"/>
        <w:rPr>
          <w:rFonts w:cs="Times New Roman"/>
        </w:rPr>
      </w:pPr>
      <w:r w:rsidRPr="00B60F29">
        <w:rPr>
          <w:rFonts w:cs="Times New Roman"/>
        </w:rPr>
        <w:t xml:space="preserve">The request is </w:t>
      </w:r>
      <w:r w:rsidRPr="00B60F29">
        <w:rPr>
          <w:rFonts w:cs="Times New Roman"/>
          <w:bCs/>
        </w:rPr>
        <w:t>not</w:t>
      </w:r>
      <w:r w:rsidRPr="00B60F29">
        <w:rPr>
          <w:rFonts w:cs="Times New Roman"/>
        </w:rPr>
        <w:t xml:space="preserve"> substantial in that the total percentage of accessory building use is still less than 1.5%.     </w:t>
      </w:r>
    </w:p>
    <w:p w:rsidR="00F43441" w:rsidRPr="00B60F29" w:rsidRDefault="00F43441" w:rsidP="00F43441">
      <w:pPr>
        <w:pStyle w:val="Standard"/>
        <w:numPr>
          <w:ilvl w:val="0"/>
          <w:numId w:val="2"/>
        </w:numPr>
        <w:spacing w:before="156"/>
        <w:rPr>
          <w:rFonts w:cs="Times New Roman"/>
        </w:rPr>
      </w:pPr>
      <w:r w:rsidRPr="00B60F29">
        <w:rPr>
          <w:rFonts w:cs="Times New Roman"/>
        </w:rPr>
        <w:t xml:space="preserve">Upon review of Short Form Environmental Assessment Form (617.20 Appendix B), the board finds the request will </w:t>
      </w:r>
      <w:r w:rsidRPr="00B60F29">
        <w:rPr>
          <w:rFonts w:cs="Times New Roman"/>
          <w:bCs/>
        </w:rPr>
        <w:t>not</w:t>
      </w:r>
      <w:r w:rsidRPr="00B60F29">
        <w:rPr>
          <w:rFonts w:cs="Times New Roman"/>
        </w:rPr>
        <w:t xml:space="preserve"> have any adverse physical or environmental effects.    </w:t>
      </w:r>
    </w:p>
    <w:p w:rsidR="00F43441" w:rsidRPr="00B60F29" w:rsidRDefault="00F43441" w:rsidP="00F43441">
      <w:pPr>
        <w:pStyle w:val="Standard"/>
        <w:numPr>
          <w:ilvl w:val="0"/>
          <w:numId w:val="2"/>
        </w:numPr>
        <w:spacing w:before="156"/>
        <w:rPr>
          <w:rFonts w:cs="Times New Roman"/>
        </w:rPr>
      </w:pPr>
      <w:r w:rsidRPr="00B60F29">
        <w:rPr>
          <w:rFonts w:cs="Times New Roman"/>
        </w:rPr>
        <w:t xml:space="preserve">The request will </w:t>
      </w:r>
      <w:r w:rsidRPr="00B60F29">
        <w:rPr>
          <w:rFonts w:cs="Times New Roman"/>
          <w:bCs/>
        </w:rPr>
        <w:t>not</w:t>
      </w:r>
      <w:r w:rsidRPr="00B60F29">
        <w:rPr>
          <w:rFonts w:cs="Times New Roman"/>
        </w:rPr>
        <w:t xml:space="preserve"> have an undesirable change in the neighborhood due to the size and location of the structure.  </w:t>
      </w:r>
    </w:p>
    <w:p w:rsidR="00F43441" w:rsidRPr="00B60F29" w:rsidRDefault="00F43441" w:rsidP="00F43441">
      <w:pPr>
        <w:pStyle w:val="Standard"/>
        <w:numPr>
          <w:ilvl w:val="0"/>
          <w:numId w:val="2"/>
        </w:numPr>
        <w:spacing w:before="156"/>
        <w:rPr>
          <w:rFonts w:cs="Times New Roman"/>
        </w:rPr>
      </w:pPr>
      <w:r w:rsidRPr="00B60F29">
        <w:rPr>
          <w:rFonts w:cs="Times New Roman"/>
        </w:rPr>
        <w:t xml:space="preserve">The difficulty </w:t>
      </w:r>
      <w:r w:rsidRPr="00B60F29">
        <w:rPr>
          <w:rFonts w:cs="Times New Roman"/>
          <w:bCs/>
        </w:rPr>
        <w:t>was</w:t>
      </w:r>
      <w:r w:rsidRPr="00B60F29">
        <w:rPr>
          <w:rFonts w:cs="Times New Roman"/>
        </w:rPr>
        <w:t xml:space="preserve"> self-created.  </w:t>
      </w:r>
    </w:p>
    <w:p w:rsidR="00F43441" w:rsidRPr="00B60F29" w:rsidRDefault="00F43441" w:rsidP="00F43441">
      <w:pPr>
        <w:pStyle w:val="Standard"/>
        <w:numPr>
          <w:ilvl w:val="0"/>
          <w:numId w:val="2"/>
        </w:numPr>
        <w:spacing w:before="156"/>
        <w:rPr>
          <w:rFonts w:cs="Times New Roman"/>
        </w:rPr>
      </w:pPr>
      <w:r w:rsidRPr="00B60F29">
        <w:rPr>
          <w:rFonts w:cs="Times New Roman"/>
        </w:rPr>
        <w:t xml:space="preserve">This is a Type II action under SEQR.  </w:t>
      </w:r>
    </w:p>
    <w:p w:rsidR="00F43441" w:rsidRPr="00B60F29" w:rsidRDefault="00F43441" w:rsidP="00F43441">
      <w:pPr>
        <w:pStyle w:val="Standard"/>
        <w:spacing w:before="156"/>
        <w:rPr>
          <w:rFonts w:cs="Times New Roman"/>
          <w:b/>
          <w:u w:val="single"/>
        </w:rPr>
      </w:pPr>
      <w:r w:rsidRPr="00B60F29">
        <w:rPr>
          <w:rFonts w:cs="Times New Roman"/>
          <w:b/>
          <w:u w:val="single"/>
        </w:rPr>
        <w:t>CONDITIONS</w:t>
      </w:r>
    </w:p>
    <w:p w:rsidR="00F43441" w:rsidRPr="00B60F29" w:rsidRDefault="00F43441" w:rsidP="00F43441">
      <w:pPr>
        <w:pStyle w:val="Standard"/>
        <w:numPr>
          <w:ilvl w:val="1"/>
          <w:numId w:val="2"/>
        </w:numPr>
        <w:spacing w:before="156"/>
        <w:rPr>
          <w:rFonts w:cs="Times New Roman"/>
          <w:bCs/>
          <w:iCs/>
        </w:rPr>
      </w:pPr>
      <w:r w:rsidRPr="00F43441">
        <w:rPr>
          <w:rFonts w:cs="Times New Roman"/>
          <w:bCs/>
          <w:iCs/>
        </w:rPr>
        <w:t>The applicant will discuss the proposed septic connection with the code enforcement officer before construction begins.</w:t>
      </w:r>
    </w:p>
    <w:sectPr w:rsidR="00F43441" w:rsidRPr="00B60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441"/>
    <w:rsid w:val="00F43441"/>
    <w:rsid w:val="00F6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3441"/>
    <w:pPr>
      <w:tabs>
        <w:tab w:val="center" w:pos="4680"/>
        <w:tab w:val="right" w:pos="9360"/>
      </w:tabs>
      <w:spacing w:after="0" w:line="240" w:lineRule="auto"/>
    </w:pPr>
  </w:style>
  <w:style w:type="character" w:customStyle="1" w:styleId="HeaderChar">
    <w:name w:val="Header Char"/>
    <w:basedOn w:val="DefaultParagraphFont"/>
    <w:link w:val="Header"/>
    <w:rsid w:val="00F43441"/>
  </w:style>
  <w:style w:type="paragraph" w:customStyle="1" w:styleId="Standard">
    <w:name w:val="Standard"/>
    <w:rsid w:val="00F43441"/>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43441"/>
    <w:pPr>
      <w:tabs>
        <w:tab w:val="center" w:pos="4680"/>
        <w:tab w:val="right" w:pos="9360"/>
      </w:tabs>
      <w:spacing w:after="0" w:line="240" w:lineRule="auto"/>
    </w:pPr>
  </w:style>
  <w:style w:type="character" w:customStyle="1" w:styleId="HeaderChar">
    <w:name w:val="Header Char"/>
    <w:basedOn w:val="DefaultParagraphFont"/>
    <w:link w:val="Header"/>
    <w:rsid w:val="00F43441"/>
  </w:style>
  <w:style w:type="paragraph" w:customStyle="1" w:styleId="Standard">
    <w:name w:val="Standard"/>
    <w:rsid w:val="00F43441"/>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1</cp:revision>
  <dcterms:created xsi:type="dcterms:W3CDTF">2017-08-28T13:34:00Z</dcterms:created>
  <dcterms:modified xsi:type="dcterms:W3CDTF">2017-08-28T13:35:00Z</dcterms:modified>
</cp:coreProperties>
</file>