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65" w:rsidRDefault="00435488">
      <w:pPr>
        <w:pStyle w:val="Header"/>
        <w:spacing w:before="156"/>
        <w:jc w:val="center"/>
        <w:rPr>
          <w:sz w:val="22"/>
          <w:szCs w:val="22"/>
        </w:rPr>
      </w:pPr>
      <w:bookmarkStart w:id="0" w:name="_GoBack"/>
      <w:bookmarkEnd w:id="0"/>
      <w:r>
        <w:rPr>
          <w:b/>
          <w:bCs/>
          <w:sz w:val="22"/>
          <w:szCs w:val="22"/>
        </w:rPr>
        <w:t>GOODMAN AREA VARIANCE DETERMINATION</w:t>
      </w:r>
    </w:p>
    <w:p w:rsidR="00633A65" w:rsidRDefault="00435488">
      <w:pPr>
        <w:pStyle w:val="Header"/>
        <w:spacing w:before="156"/>
        <w:rPr>
          <w:sz w:val="22"/>
          <w:szCs w:val="22"/>
        </w:rPr>
      </w:pPr>
      <w:r>
        <w:rPr>
          <w:sz w:val="22"/>
          <w:szCs w:val="22"/>
        </w:rPr>
        <w:t>Mr</w:t>
      </w:r>
      <w:r w:rsidR="00467A53">
        <w:rPr>
          <w:sz w:val="22"/>
          <w:szCs w:val="22"/>
        </w:rPr>
        <w:t>.</w:t>
      </w:r>
      <w:r>
        <w:rPr>
          <w:sz w:val="22"/>
          <w:szCs w:val="22"/>
        </w:rPr>
        <w:t xml:space="preserve"> Lacey moved, seconded by </w:t>
      </w:r>
      <w:r>
        <w:rPr>
          <w:rFonts w:cs="Times New Roman"/>
          <w:sz w:val="22"/>
          <w:szCs w:val="22"/>
        </w:rPr>
        <w:t>Ms</w:t>
      </w:r>
      <w:r w:rsidR="00467A53">
        <w:rPr>
          <w:rFonts w:cs="Times New Roman"/>
          <w:sz w:val="22"/>
          <w:szCs w:val="22"/>
        </w:rPr>
        <w:t>.</w:t>
      </w:r>
      <w:r>
        <w:rPr>
          <w:rFonts w:cs="Times New Roman"/>
          <w:sz w:val="22"/>
          <w:szCs w:val="22"/>
        </w:rPr>
        <w:t xml:space="preserve"> Sciortino</w:t>
      </w:r>
      <w:r>
        <w:rPr>
          <w:sz w:val="22"/>
          <w:szCs w:val="22"/>
        </w:rPr>
        <w:t>, that the area variance requested by Charles Goodman, 7 Bosworth Field, Mendon, NY consisting of 1.65 acres, bearing Tax Account No. 217.010-1-4.1, located in an RA-1 zone, to build an attached 4 car garage where one corner will be approximately 16 feet from the side setback, whereas town code requires a 20 foot side setback, be approved based on the following findings of fact and conclusions of law:</w:t>
      </w:r>
    </w:p>
    <w:p w:rsidR="00633A65" w:rsidRDefault="00435488">
      <w:pPr>
        <w:spacing w:before="156"/>
        <w:rPr>
          <w:b/>
          <w:sz w:val="22"/>
          <w:szCs w:val="22"/>
          <w:u w:val="single"/>
        </w:rPr>
      </w:pPr>
      <w:r>
        <w:rPr>
          <w:b/>
          <w:sz w:val="22"/>
          <w:szCs w:val="22"/>
          <w:u w:val="single"/>
        </w:rPr>
        <w:t>FINDINGS OF FACT</w:t>
      </w:r>
    </w:p>
    <w:p w:rsidR="00633A65" w:rsidRDefault="00435488">
      <w:pPr>
        <w:numPr>
          <w:ilvl w:val="0"/>
          <w:numId w:val="1"/>
        </w:numPr>
        <w:spacing w:before="156"/>
        <w:rPr>
          <w:sz w:val="22"/>
          <w:szCs w:val="22"/>
        </w:rPr>
      </w:pPr>
      <w:r>
        <w:rPr>
          <w:rFonts w:cs="Times New Roman"/>
          <w:sz w:val="22"/>
          <w:szCs w:val="22"/>
        </w:rPr>
        <w:t>Charles Goodman, the property owner, appeared before the Zoning Board of Appeals at the public hearing on February 7, 2019.</w:t>
      </w:r>
    </w:p>
    <w:p w:rsidR="00633A65" w:rsidRDefault="00435488">
      <w:pPr>
        <w:numPr>
          <w:ilvl w:val="0"/>
          <w:numId w:val="1"/>
        </w:numPr>
        <w:spacing w:before="156"/>
        <w:rPr>
          <w:sz w:val="22"/>
          <w:szCs w:val="22"/>
        </w:rPr>
      </w:pPr>
      <w:r>
        <w:rPr>
          <w:sz w:val="22"/>
          <w:szCs w:val="22"/>
        </w:rPr>
        <w:t xml:space="preserve">The applicant is requesting to build a 4 car garage, such that one of </w:t>
      </w:r>
      <w:r w:rsidR="007E7AF6">
        <w:rPr>
          <w:sz w:val="22"/>
          <w:szCs w:val="22"/>
        </w:rPr>
        <w:t>its</w:t>
      </w:r>
      <w:r>
        <w:rPr>
          <w:sz w:val="22"/>
          <w:szCs w:val="22"/>
        </w:rPr>
        <w:t xml:space="preserve"> corners is approximately 16 feet from the closest property edge.  Section 260-106 of the Mendon Zoning Code states RA-1 districts has a side setback of 20 feet.</w:t>
      </w:r>
    </w:p>
    <w:p w:rsidR="00633A65" w:rsidRDefault="00435488">
      <w:pPr>
        <w:numPr>
          <w:ilvl w:val="0"/>
          <w:numId w:val="1"/>
        </w:numPr>
        <w:spacing w:before="156"/>
        <w:rPr>
          <w:sz w:val="22"/>
          <w:szCs w:val="22"/>
        </w:rPr>
      </w:pPr>
      <w:r>
        <w:rPr>
          <w:sz w:val="22"/>
          <w:szCs w:val="22"/>
        </w:rPr>
        <w:t>Due to the curve of Bosworth Field, the property lines for this lot are not parallel, and the structure is more aligned with the southern border then the northern.  As such, the encroachment into the setback is for a corner of the proposed structure, and not the entire side.</w:t>
      </w:r>
    </w:p>
    <w:p w:rsidR="00633A65" w:rsidRDefault="00435488">
      <w:pPr>
        <w:numPr>
          <w:ilvl w:val="0"/>
          <w:numId w:val="1"/>
        </w:numPr>
        <w:spacing w:before="156"/>
        <w:rPr>
          <w:sz w:val="22"/>
          <w:szCs w:val="22"/>
        </w:rPr>
      </w:pPr>
      <w:r>
        <w:rPr>
          <w:sz w:val="22"/>
          <w:szCs w:val="22"/>
        </w:rPr>
        <w:t>The applicant states there is an existing septic tank, which prevents moving the desired structure.</w:t>
      </w:r>
    </w:p>
    <w:p w:rsidR="00633A65" w:rsidRDefault="00435488">
      <w:pPr>
        <w:numPr>
          <w:ilvl w:val="0"/>
          <w:numId w:val="1"/>
        </w:numPr>
        <w:spacing w:before="156"/>
        <w:rPr>
          <w:sz w:val="22"/>
          <w:szCs w:val="22"/>
        </w:rPr>
      </w:pPr>
      <w:r>
        <w:rPr>
          <w:sz w:val="22"/>
          <w:szCs w:val="22"/>
        </w:rPr>
        <w:t>The applicant states there are existing multi-car garages in the neighborhood, and as such this usage would not be out of place.</w:t>
      </w:r>
    </w:p>
    <w:p w:rsidR="00633A65" w:rsidRDefault="00435488">
      <w:pPr>
        <w:numPr>
          <w:ilvl w:val="0"/>
          <w:numId w:val="1"/>
        </w:numPr>
        <w:spacing w:before="156"/>
        <w:rPr>
          <w:sz w:val="22"/>
          <w:szCs w:val="22"/>
        </w:rPr>
      </w:pPr>
      <w:r>
        <w:rPr>
          <w:sz w:val="22"/>
          <w:szCs w:val="22"/>
        </w:rPr>
        <w:t>Jeff Clark, the neighbor closest to the planned construction, submitted a letter dated February 9</w:t>
      </w:r>
      <w:r>
        <w:rPr>
          <w:sz w:val="22"/>
          <w:szCs w:val="22"/>
          <w:vertAlign w:val="superscript"/>
        </w:rPr>
        <w:t xml:space="preserve">th </w:t>
      </w:r>
      <w:r>
        <w:rPr>
          <w:sz w:val="22"/>
          <w:szCs w:val="22"/>
        </w:rPr>
        <w:t>2019 stating he has no issues with the requested variance.</w:t>
      </w:r>
    </w:p>
    <w:p w:rsidR="00633A65" w:rsidRDefault="00435488">
      <w:pPr>
        <w:numPr>
          <w:ilvl w:val="0"/>
          <w:numId w:val="1"/>
        </w:numPr>
        <w:spacing w:before="156"/>
        <w:rPr>
          <w:sz w:val="22"/>
          <w:szCs w:val="22"/>
        </w:rPr>
      </w:pPr>
      <w:r>
        <w:rPr>
          <w:sz w:val="22"/>
          <w:szCs w:val="22"/>
        </w:rPr>
        <w:t>No members of the public commented during the public hearing.</w:t>
      </w:r>
    </w:p>
    <w:p w:rsidR="00195264" w:rsidRPr="00195264" w:rsidRDefault="00195264" w:rsidP="00195264">
      <w:pPr>
        <w:pStyle w:val="ListParagraph"/>
        <w:numPr>
          <w:ilvl w:val="0"/>
          <w:numId w:val="1"/>
        </w:numPr>
        <w:spacing w:before="156"/>
        <w:rPr>
          <w:sz w:val="22"/>
          <w:szCs w:val="22"/>
        </w:rPr>
      </w:pPr>
      <w:r w:rsidRPr="00195264">
        <w:rPr>
          <w:sz w:val="22"/>
          <w:szCs w:val="22"/>
        </w:rPr>
        <w:t>This application is exempt from County Planning Board review under General Municipal Law 239-m pursuant to an agreement dated January 24, 1994 between the County and the Town which exempts matters set forth therein from further County review.</w:t>
      </w:r>
    </w:p>
    <w:p w:rsidR="00633A65" w:rsidRDefault="00435488">
      <w:pPr>
        <w:spacing w:before="156"/>
        <w:rPr>
          <w:b/>
          <w:sz w:val="22"/>
          <w:szCs w:val="22"/>
          <w:u w:val="single"/>
        </w:rPr>
      </w:pPr>
      <w:r>
        <w:rPr>
          <w:b/>
          <w:sz w:val="22"/>
          <w:szCs w:val="22"/>
          <w:u w:val="single"/>
        </w:rPr>
        <w:t>CONCLUSIONS OF LAW</w:t>
      </w:r>
    </w:p>
    <w:p w:rsidR="00633A65" w:rsidRDefault="00435488">
      <w:pPr>
        <w:numPr>
          <w:ilvl w:val="0"/>
          <w:numId w:val="2"/>
        </w:numPr>
        <w:spacing w:before="156"/>
        <w:rPr>
          <w:sz w:val="22"/>
          <w:szCs w:val="22"/>
        </w:rPr>
      </w:pPr>
      <w:r>
        <w:rPr>
          <w:sz w:val="22"/>
          <w:szCs w:val="22"/>
        </w:rPr>
        <w:t>The requested benefit can</w:t>
      </w:r>
      <w:r>
        <w:rPr>
          <w:b/>
          <w:bCs/>
          <w:sz w:val="22"/>
          <w:szCs w:val="22"/>
        </w:rPr>
        <w:t>not</w:t>
      </w:r>
      <w:r>
        <w:rPr>
          <w:sz w:val="22"/>
          <w:szCs w:val="22"/>
        </w:rPr>
        <w:t xml:space="preserve"> be achieved by other feasible means, as the existing septic system prevents relocation of the garage.</w:t>
      </w:r>
    </w:p>
    <w:p w:rsidR="00633A65" w:rsidRDefault="00435488">
      <w:pPr>
        <w:numPr>
          <w:ilvl w:val="0"/>
          <w:numId w:val="2"/>
        </w:numPr>
        <w:spacing w:before="156"/>
        <w:rPr>
          <w:sz w:val="22"/>
          <w:szCs w:val="22"/>
        </w:rPr>
      </w:pPr>
      <w:r>
        <w:rPr>
          <w:sz w:val="22"/>
          <w:szCs w:val="22"/>
        </w:rPr>
        <w:t xml:space="preserve">The request is </w:t>
      </w:r>
      <w:r>
        <w:rPr>
          <w:b/>
          <w:bCs/>
          <w:sz w:val="22"/>
          <w:szCs w:val="22"/>
        </w:rPr>
        <w:t>not</w:t>
      </w:r>
      <w:r>
        <w:rPr>
          <w:sz w:val="22"/>
          <w:szCs w:val="22"/>
        </w:rPr>
        <w:t xml:space="preserve"> substantial, as it is at most 4 feet of relief.</w:t>
      </w:r>
    </w:p>
    <w:p w:rsidR="00633A65" w:rsidRDefault="00435488">
      <w:pPr>
        <w:numPr>
          <w:ilvl w:val="0"/>
          <w:numId w:val="2"/>
        </w:numPr>
        <w:spacing w:before="156"/>
        <w:rPr>
          <w:sz w:val="22"/>
          <w:szCs w:val="22"/>
        </w:rPr>
      </w:pPr>
      <w:r>
        <w:rPr>
          <w:sz w:val="22"/>
          <w:szCs w:val="22"/>
        </w:rPr>
        <w:t xml:space="preserve">Upon review of Short Environmental Assessment Form (617.20 Appendix B), the board finds the request will </w:t>
      </w:r>
      <w:r>
        <w:rPr>
          <w:b/>
          <w:bCs/>
          <w:sz w:val="22"/>
          <w:szCs w:val="22"/>
        </w:rPr>
        <w:t>not</w:t>
      </w:r>
      <w:r>
        <w:rPr>
          <w:sz w:val="22"/>
          <w:szCs w:val="22"/>
        </w:rPr>
        <w:t xml:space="preserve"> have any adverse physical or environmental effects, as it involves such a small section of land.</w:t>
      </w:r>
    </w:p>
    <w:p w:rsidR="00633A65" w:rsidRDefault="00435488">
      <w:pPr>
        <w:numPr>
          <w:ilvl w:val="0"/>
          <w:numId w:val="2"/>
        </w:numPr>
        <w:spacing w:before="156"/>
        <w:rPr>
          <w:sz w:val="22"/>
          <w:szCs w:val="22"/>
        </w:rPr>
      </w:pPr>
      <w:r>
        <w:rPr>
          <w:sz w:val="22"/>
          <w:szCs w:val="22"/>
        </w:rPr>
        <w:t xml:space="preserve">The request will </w:t>
      </w:r>
      <w:r>
        <w:rPr>
          <w:b/>
          <w:bCs/>
          <w:sz w:val="22"/>
          <w:szCs w:val="22"/>
        </w:rPr>
        <w:t>not</w:t>
      </w:r>
      <w:r>
        <w:rPr>
          <w:sz w:val="22"/>
          <w:szCs w:val="22"/>
        </w:rPr>
        <w:t xml:space="preserve"> have an undesirable change in the neighborhood, as </w:t>
      </w:r>
      <w:r w:rsidR="00467A53">
        <w:rPr>
          <w:sz w:val="22"/>
          <w:szCs w:val="22"/>
        </w:rPr>
        <w:t>there are</w:t>
      </w:r>
      <w:r>
        <w:rPr>
          <w:sz w:val="22"/>
          <w:szCs w:val="22"/>
        </w:rPr>
        <w:t xml:space="preserve"> already a number of multi-car attached garages in the area.</w:t>
      </w:r>
    </w:p>
    <w:p w:rsidR="00633A65" w:rsidRDefault="00435488">
      <w:pPr>
        <w:numPr>
          <w:ilvl w:val="0"/>
          <w:numId w:val="2"/>
        </w:numPr>
        <w:spacing w:before="156"/>
        <w:rPr>
          <w:sz w:val="22"/>
          <w:szCs w:val="22"/>
        </w:rPr>
      </w:pPr>
      <w:r>
        <w:rPr>
          <w:sz w:val="22"/>
          <w:szCs w:val="22"/>
        </w:rPr>
        <w:t xml:space="preserve">The difficulty </w:t>
      </w:r>
      <w:r>
        <w:rPr>
          <w:b/>
          <w:bCs/>
          <w:sz w:val="22"/>
          <w:szCs w:val="22"/>
        </w:rPr>
        <w:t>was</w:t>
      </w:r>
      <w:r>
        <w:rPr>
          <w:sz w:val="22"/>
          <w:szCs w:val="22"/>
        </w:rPr>
        <w:t xml:space="preserve"> self-created, as the applicant chose to have enough vehicles that they needed the additional space.</w:t>
      </w:r>
    </w:p>
    <w:p w:rsidR="00633A65" w:rsidRDefault="00435488">
      <w:pPr>
        <w:numPr>
          <w:ilvl w:val="0"/>
          <w:numId w:val="2"/>
        </w:numPr>
        <w:spacing w:before="156"/>
        <w:rPr>
          <w:rFonts w:cs="Times New Roman"/>
          <w:sz w:val="22"/>
          <w:szCs w:val="22"/>
        </w:rPr>
      </w:pPr>
      <w:r>
        <w:rPr>
          <w:rFonts w:cs="Times New Roman"/>
          <w:sz w:val="22"/>
          <w:szCs w:val="22"/>
        </w:rPr>
        <w:t>This is a Type II action under SEQR</w:t>
      </w:r>
    </w:p>
    <w:sectPr w:rsidR="00633A65">
      <w:headerReference w:type="default" r:id="rId8"/>
      <w:pgSz w:w="12240" w:h="15840"/>
      <w:pgMar w:top="1624" w:right="1134" w:bottom="1624" w:left="1134" w:header="1134" w:footer="1134"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9E0" w:rsidRDefault="00B169E0">
      <w:r>
        <w:separator/>
      </w:r>
    </w:p>
  </w:endnote>
  <w:endnote w:type="continuationSeparator" w:id="0">
    <w:p w:rsidR="00B169E0" w:rsidRDefault="00B1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PMincho">
    <w:altName w:val="ＭＳ Ｐ明朝"/>
    <w:panose1 w:val="02020600040205080304"/>
    <w:charset w:val="80"/>
    <w:family w:val="roma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9E0" w:rsidRDefault="00B169E0">
      <w:r>
        <w:separator/>
      </w:r>
    </w:p>
  </w:footnote>
  <w:footnote w:type="continuationSeparator" w:id="0">
    <w:p w:rsidR="00B169E0" w:rsidRDefault="00B16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A65" w:rsidRDefault="00435488">
    <w:pPr>
      <w:pStyle w:val="Header"/>
      <w:rPr>
        <w:sz w:val="18"/>
        <w:szCs w:val="18"/>
      </w:rPr>
    </w:pPr>
    <w:r>
      <w:rPr>
        <w:sz w:val="18"/>
        <w:szCs w:val="18"/>
      </w:rPr>
      <w:tab/>
    </w:r>
    <w:r>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F73"/>
    <w:multiLevelType w:val="multilevel"/>
    <w:tmpl w:val="5EFC809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BCD5B5F"/>
    <w:multiLevelType w:val="multilevel"/>
    <w:tmpl w:val="2CE6C2E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nsid w:val="11A81C31"/>
    <w:multiLevelType w:val="multilevel"/>
    <w:tmpl w:val="9484FB3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A65"/>
    <w:rsid w:val="00195264"/>
    <w:rsid w:val="00435488"/>
    <w:rsid w:val="00467A53"/>
    <w:rsid w:val="00633A65"/>
    <w:rsid w:val="007E7AF6"/>
    <w:rsid w:val="00B1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PMincho" w:hAnsi="Times New Roman" w:cs="Mangal"/>
        <w:sz w:val="24"/>
        <w:szCs w:val="24"/>
        <w:lang w:val="en-US" w:eastAsia="ja-JP"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Pr>
      <w:b w:val="0"/>
      <w:bCs w:val="0"/>
      <w:i w:val="0"/>
      <w:iCs w:val="0"/>
    </w:rPr>
  </w:style>
  <w:style w:type="character" w:customStyle="1" w:styleId="ListLabel1">
    <w:name w:val="ListLabel 1"/>
    <w:qFormat/>
    <w:rPr>
      <w:b w:val="0"/>
      <w:bCs w:val="0"/>
      <w:i w:val="0"/>
      <w:iCs w:val="0"/>
      <w:sz w:val="22"/>
    </w:rPr>
  </w:style>
  <w:style w:type="character" w:customStyle="1" w:styleId="ListLabel2">
    <w:name w:val="ListLabel 2"/>
    <w:qFormat/>
    <w:rPr>
      <w:b w:val="0"/>
      <w:bCs w:val="0"/>
      <w:i w:val="0"/>
      <w:iCs w:val="0"/>
    </w:rPr>
  </w:style>
  <w:style w:type="character" w:customStyle="1" w:styleId="ListLabel3">
    <w:name w:val="ListLabel 3"/>
    <w:qFormat/>
    <w:rPr>
      <w:b w:val="0"/>
      <w:bCs w:val="0"/>
      <w:i w:val="0"/>
      <w:iCs w:val="0"/>
    </w:rPr>
  </w:style>
  <w:style w:type="character" w:customStyle="1" w:styleId="ListLabel4">
    <w:name w:val="ListLabel 4"/>
    <w:qFormat/>
    <w:rPr>
      <w:b w:val="0"/>
      <w:bCs w:val="0"/>
      <w:i w:val="0"/>
      <w:iCs w:val="0"/>
    </w:rPr>
  </w:style>
  <w:style w:type="character" w:customStyle="1" w:styleId="ListLabel5">
    <w:name w:val="ListLabel 5"/>
    <w:qFormat/>
    <w:rPr>
      <w:b w:val="0"/>
      <w:bCs w:val="0"/>
      <w:i w:val="0"/>
      <w:iCs w:val="0"/>
    </w:rPr>
  </w:style>
  <w:style w:type="character" w:customStyle="1" w:styleId="ListLabel6">
    <w:name w:val="ListLabel 6"/>
    <w:qFormat/>
    <w:rPr>
      <w:b w:val="0"/>
      <w:bCs w:val="0"/>
      <w:i w:val="0"/>
      <w:iCs w:val="0"/>
    </w:rPr>
  </w:style>
  <w:style w:type="character" w:customStyle="1" w:styleId="ListLabel7">
    <w:name w:val="ListLabel 7"/>
    <w:qFormat/>
    <w:rPr>
      <w:b w:val="0"/>
      <w:bCs w:val="0"/>
      <w:i w:val="0"/>
      <w:iCs w:val="0"/>
    </w:rPr>
  </w:style>
  <w:style w:type="character" w:customStyle="1" w:styleId="ListLabel8">
    <w:name w:val="ListLabel 8"/>
    <w:qFormat/>
    <w:rPr>
      <w:b w:val="0"/>
      <w:bCs w:val="0"/>
      <w:i w:val="0"/>
      <w:iCs w:val="0"/>
    </w:rPr>
  </w:style>
  <w:style w:type="character" w:customStyle="1" w:styleId="ListLabel9">
    <w:name w:val="ListLabel 9"/>
    <w:qFormat/>
    <w:rPr>
      <w:b w:val="0"/>
      <w:bCs w:val="0"/>
      <w:i w:val="0"/>
      <w:iCs w:val="0"/>
    </w:rPr>
  </w:style>
  <w:style w:type="paragraph" w:customStyle="1" w:styleId="Heading">
    <w:name w:val="Heading"/>
    <w:basedOn w:val="Normal"/>
    <w:next w:val="BodyText"/>
    <w:qFormat/>
    <w:pPr>
      <w:keepNext/>
      <w:spacing w:before="240" w:after="120"/>
    </w:pPr>
    <w:rPr>
      <w:rFonts w:ascii="Arial" w:eastAsia="MS PGothic"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tabs>
        <w:tab w:val="center" w:pos="4680"/>
        <w:tab w:val="right" w:pos="9360"/>
      </w:tabs>
    </w:pPr>
  </w:style>
  <w:style w:type="paragraph" w:styleId="ListParagraph">
    <w:name w:val="List Paragraph"/>
    <w:basedOn w:val="Normal"/>
    <w:qFormat/>
    <w:pPr>
      <w:ind w:left="720"/>
      <w:contextualSpacing/>
    </w:pPr>
  </w:style>
  <w:style w:type="paragraph" w:styleId="Footer">
    <w:name w:val="footer"/>
    <w:basedOn w:val="Normal"/>
    <w:pPr>
      <w:suppressLineNumbers/>
      <w:tabs>
        <w:tab w:val="center" w:pos="4986"/>
        <w:tab w:val="right" w:pos="99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PMincho" w:hAnsi="Times New Roman" w:cs="Mangal"/>
        <w:sz w:val="24"/>
        <w:szCs w:val="24"/>
        <w:lang w:val="en-US" w:eastAsia="ja-JP"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Pr>
      <w:b w:val="0"/>
      <w:bCs w:val="0"/>
      <w:i w:val="0"/>
      <w:iCs w:val="0"/>
    </w:rPr>
  </w:style>
  <w:style w:type="character" w:customStyle="1" w:styleId="ListLabel1">
    <w:name w:val="ListLabel 1"/>
    <w:qFormat/>
    <w:rPr>
      <w:b w:val="0"/>
      <w:bCs w:val="0"/>
      <w:i w:val="0"/>
      <w:iCs w:val="0"/>
      <w:sz w:val="22"/>
    </w:rPr>
  </w:style>
  <w:style w:type="character" w:customStyle="1" w:styleId="ListLabel2">
    <w:name w:val="ListLabel 2"/>
    <w:qFormat/>
    <w:rPr>
      <w:b w:val="0"/>
      <w:bCs w:val="0"/>
      <w:i w:val="0"/>
      <w:iCs w:val="0"/>
    </w:rPr>
  </w:style>
  <w:style w:type="character" w:customStyle="1" w:styleId="ListLabel3">
    <w:name w:val="ListLabel 3"/>
    <w:qFormat/>
    <w:rPr>
      <w:b w:val="0"/>
      <w:bCs w:val="0"/>
      <w:i w:val="0"/>
      <w:iCs w:val="0"/>
    </w:rPr>
  </w:style>
  <w:style w:type="character" w:customStyle="1" w:styleId="ListLabel4">
    <w:name w:val="ListLabel 4"/>
    <w:qFormat/>
    <w:rPr>
      <w:b w:val="0"/>
      <w:bCs w:val="0"/>
      <w:i w:val="0"/>
      <w:iCs w:val="0"/>
    </w:rPr>
  </w:style>
  <w:style w:type="character" w:customStyle="1" w:styleId="ListLabel5">
    <w:name w:val="ListLabel 5"/>
    <w:qFormat/>
    <w:rPr>
      <w:b w:val="0"/>
      <w:bCs w:val="0"/>
      <w:i w:val="0"/>
      <w:iCs w:val="0"/>
    </w:rPr>
  </w:style>
  <w:style w:type="character" w:customStyle="1" w:styleId="ListLabel6">
    <w:name w:val="ListLabel 6"/>
    <w:qFormat/>
    <w:rPr>
      <w:b w:val="0"/>
      <w:bCs w:val="0"/>
      <w:i w:val="0"/>
      <w:iCs w:val="0"/>
    </w:rPr>
  </w:style>
  <w:style w:type="character" w:customStyle="1" w:styleId="ListLabel7">
    <w:name w:val="ListLabel 7"/>
    <w:qFormat/>
    <w:rPr>
      <w:b w:val="0"/>
      <w:bCs w:val="0"/>
      <w:i w:val="0"/>
      <w:iCs w:val="0"/>
    </w:rPr>
  </w:style>
  <w:style w:type="character" w:customStyle="1" w:styleId="ListLabel8">
    <w:name w:val="ListLabel 8"/>
    <w:qFormat/>
    <w:rPr>
      <w:b w:val="0"/>
      <w:bCs w:val="0"/>
      <w:i w:val="0"/>
      <w:iCs w:val="0"/>
    </w:rPr>
  </w:style>
  <w:style w:type="character" w:customStyle="1" w:styleId="ListLabel9">
    <w:name w:val="ListLabel 9"/>
    <w:qFormat/>
    <w:rPr>
      <w:b w:val="0"/>
      <w:bCs w:val="0"/>
      <w:i w:val="0"/>
      <w:iCs w:val="0"/>
    </w:rPr>
  </w:style>
  <w:style w:type="paragraph" w:customStyle="1" w:styleId="Heading">
    <w:name w:val="Heading"/>
    <w:basedOn w:val="Normal"/>
    <w:next w:val="BodyText"/>
    <w:qFormat/>
    <w:pPr>
      <w:keepNext/>
      <w:spacing w:before="240" w:after="120"/>
    </w:pPr>
    <w:rPr>
      <w:rFonts w:ascii="Arial" w:eastAsia="MS PGothic"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tabs>
        <w:tab w:val="center" w:pos="4680"/>
        <w:tab w:val="right" w:pos="9360"/>
      </w:tabs>
    </w:pPr>
  </w:style>
  <w:style w:type="paragraph" w:styleId="ListParagraph">
    <w:name w:val="List Paragraph"/>
    <w:basedOn w:val="Normal"/>
    <w:qFormat/>
    <w:pPr>
      <w:ind w:left="720"/>
      <w:contextualSpacing/>
    </w:pPr>
  </w:style>
  <w:style w:type="paragraph" w:styleId="Footer">
    <w:name w:val="foot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Booth</dc:creator>
  <cp:lastModifiedBy>mfletcher</cp:lastModifiedBy>
  <cp:revision>2</cp:revision>
  <cp:lastPrinted>2019-02-22T15:18:00Z</cp:lastPrinted>
  <dcterms:created xsi:type="dcterms:W3CDTF">2019-02-22T15:38:00Z</dcterms:created>
  <dcterms:modified xsi:type="dcterms:W3CDTF">2019-02-22T15:38:00Z</dcterms:modified>
  <dc:language>en-US</dc:language>
</cp:coreProperties>
</file>