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98324" w14:textId="77777777" w:rsidR="00D0250C" w:rsidRDefault="000B19B5">
      <w:pPr>
        <w:pStyle w:val="Header"/>
        <w:spacing w:before="156"/>
        <w:jc w:val="center"/>
        <w:rPr>
          <w:sz w:val="22"/>
          <w:szCs w:val="22"/>
        </w:rPr>
      </w:pPr>
      <w:r>
        <w:rPr>
          <w:b/>
          <w:bCs/>
          <w:sz w:val="22"/>
          <w:szCs w:val="22"/>
        </w:rPr>
        <w:t>MENDON RENEWABLES AREA VARIANCE DETERMINATION</w:t>
      </w:r>
    </w:p>
    <w:p w14:paraId="0888EBA6" w14:textId="43139F87" w:rsidR="00D0250C" w:rsidRDefault="000B19B5">
      <w:pPr>
        <w:pStyle w:val="Header"/>
        <w:spacing w:before="156"/>
        <w:rPr>
          <w:sz w:val="22"/>
          <w:szCs w:val="22"/>
        </w:rPr>
      </w:pPr>
      <w:r>
        <w:rPr>
          <w:sz w:val="22"/>
          <w:szCs w:val="22"/>
        </w:rPr>
        <w:t>Mr</w:t>
      </w:r>
      <w:r w:rsidR="00DA3C65">
        <w:rPr>
          <w:sz w:val="22"/>
          <w:szCs w:val="22"/>
        </w:rPr>
        <w:t>.</w:t>
      </w:r>
      <w:r>
        <w:rPr>
          <w:sz w:val="22"/>
          <w:szCs w:val="22"/>
        </w:rPr>
        <w:t xml:space="preserve"> Maxon moved, seconded by Mr</w:t>
      </w:r>
      <w:r w:rsidR="00DA3C65">
        <w:rPr>
          <w:sz w:val="22"/>
          <w:szCs w:val="22"/>
        </w:rPr>
        <w:t>.</w:t>
      </w:r>
      <w:r>
        <w:rPr>
          <w:sz w:val="22"/>
          <w:szCs w:val="22"/>
        </w:rPr>
        <w:t xml:space="preserve"> Cichon, that the area variance requested by </w:t>
      </w:r>
      <w:r>
        <w:rPr>
          <w:rFonts w:cs="Times New Roman"/>
          <w:sz w:val="22"/>
          <w:szCs w:val="22"/>
        </w:rPr>
        <w:t>Mendon Renewables, 101 Summer St., 2</w:t>
      </w:r>
      <w:r>
        <w:rPr>
          <w:rFonts w:cs="Times New Roman"/>
          <w:sz w:val="22"/>
          <w:szCs w:val="22"/>
          <w:vertAlign w:val="superscript"/>
        </w:rPr>
        <w:t>nd</w:t>
      </w:r>
      <w:r>
        <w:rPr>
          <w:rFonts w:cs="Times New Roman"/>
          <w:sz w:val="22"/>
          <w:szCs w:val="22"/>
        </w:rPr>
        <w:t xml:space="preserve"> Floor, Boston, MA, for property owned by Happy Acres, LLC located at Quaker Meeting House and Boughton Hill Road,  consisting of 169.2 acres, bearing Tax Account No. 229.01-1-11.2, located in an RA-5 zone, to install a solar farm on said property in a sta</w:t>
      </w:r>
      <w:r>
        <w:rPr>
          <w:rFonts w:cs="Times New Roman"/>
          <w:sz w:val="22"/>
          <w:szCs w:val="22"/>
        </w:rPr>
        <w:t xml:space="preserve">te designated wetland, </w:t>
      </w:r>
      <w:r>
        <w:rPr>
          <w:sz w:val="22"/>
          <w:szCs w:val="22"/>
        </w:rPr>
        <w:t>b</w:t>
      </w:r>
      <w:r>
        <w:rPr>
          <w:sz w:val="22"/>
          <w:szCs w:val="22"/>
        </w:rPr>
        <w:t xml:space="preserve">e approved </w:t>
      </w:r>
      <w:r>
        <w:rPr>
          <w:sz w:val="22"/>
          <w:szCs w:val="22"/>
        </w:rPr>
        <w:t>based on the following findings of fact and conclusions of law:</w:t>
      </w:r>
    </w:p>
    <w:p w14:paraId="07C5048B" w14:textId="77777777" w:rsidR="00D0250C" w:rsidRDefault="000B19B5">
      <w:pPr>
        <w:spacing w:before="156"/>
        <w:rPr>
          <w:b/>
          <w:sz w:val="22"/>
          <w:szCs w:val="22"/>
          <w:u w:val="single"/>
        </w:rPr>
      </w:pPr>
      <w:r>
        <w:rPr>
          <w:b/>
          <w:sz w:val="22"/>
          <w:szCs w:val="22"/>
          <w:u w:val="single"/>
        </w:rPr>
        <w:t>FINDINGS OF FACT</w:t>
      </w:r>
    </w:p>
    <w:p w14:paraId="2C4BF5AE" w14:textId="77777777" w:rsidR="00D0250C" w:rsidRDefault="000B19B5">
      <w:pPr>
        <w:numPr>
          <w:ilvl w:val="0"/>
          <w:numId w:val="2"/>
        </w:numPr>
        <w:spacing w:before="156"/>
        <w:rPr>
          <w:sz w:val="22"/>
          <w:szCs w:val="22"/>
        </w:rPr>
      </w:pPr>
      <w:r>
        <w:rPr>
          <w:rFonts w:cs="Times New Roman"/>
          <w:sz w:val="22"/>
          <w:szCs w:val="22"/>
        </w:rPr>
        <w:t>Christopher Knox and Joe Fiori, on behalf of Mendon Renewables, appeared before the Zoning Board of Appeals at the public hearing on October</w:t>
      </w:r>
      <w:r>
        <w:rPr>
          <w:rFonts w:cs="Times New Roman"/>
          <w:sz w:val="22"/>
          <w:szCs w:val="22"/>
        </w:rPr>
        <w:t xml:space="preserve"> 24, 2019, and again on February 13, 2020.</w:t>
      </w:r>
    </w:p>
    <w:p w14:paraId="791CDBFD" w14:textId="77777777" w:rsidR="00D0250C" w:rsidRDefault="000B19B5">
      <w:pPr>
        <w:numPr>
          <w:ilvl w:val="0"/>
          <w:numId w:val="2"/>
        </w:numPr>
        <w:spacing w:before="156"/>
        <w:rPr>
          <w:sz w:val="22"/>
          <w:szCs w:val="22"/>
        </w:rPr>
      </w:pPr>
      <w:r>
        <w:rPr>
          <w:sz w:val="22"/>
          <w:szCs w:val="22"/>
        </w:rPr>
        <w:t>The property is owned by Happy Acres, LLC, who has submitted a letter, dated September 27, 2019, stating Mendon Renewables represents them in all matters related to this Area Variance.</w:t>
      </w:r>
    </w:p>
    <w:p w14:paraId="6330798F" w14:textId="77777777" w:rsidR="00D0250C" w:rsidRDefault="000B19B5">
      <w:pPr>
        <w:numPr>
          <w:ilvl w:val="0"/>
          <w:numId w:val="2"/>
        </w:numPr>
        <w:spacing w:before="156"/>
        <w:rPr>
          <w:sz w:val="22"/>
          <w:szCs w:val="22"/>
        </w:rPr>
      </w:pPr>
      <w:r>
        <w:rPr>
          <w:sz w:val="22"/>
          <w:szCs w:val="22"/>
        </w:rPr>
        <w:t xml:space="preserve">The applicant is requesting </w:t>
      </w:r>
      <w:r>
        <w:rPr>
          <w:sz w:val="22"/>
          <w:szCs w:val="22"/>
        </w:rPr>
        <w:t>to install a solar farm, a portion of which will be in a state designated wetland. Section 260-49E of the Mendon Zoning Code states no solar farm shall be erected in a state designated wetland.</w:t>
      </w:r>
    </w:p>
    <w:p w14:paraId="55B45E81" w14:textId="77777777" w:rsidR="00D0250C" w:rsidRDefault="000B19B5">
      <w:pPr>
        <w:numPr>
          <w:ilvl w:val="0"/>
          <w:numId w:val="2"/>
        </w:numPr>
        <w:spacing w:before="156"/>
        <w:rPr>
          <w:sz w:val="22"/>
          <w:szCs w:val="22"/>
        </w:rPr>
      </w:pPr>
      <w:r>
        <w:rPr>
          <w:sz w:val="22"/>
          <w:szCs w:val="22"/>
        </w:rPr>
        <w:t>The total parcel is approximately 169.2 acres, while the solar</w:t>
      </w:r>
      <w:r>
        <w:rPr>
          <w:sz w:val="22"/>
          <w:szCs w:val="22"/>
        </w:rPr>
        <w:t xml:space="preserve"> installation will use approximately 24.1 acres.  Of that approximately 1.3 acres are in the state designated wetland.  The remainder of the parcel will be farmed, as it currently is.</w:t>
      </w:r>
    </w:p>
    <w:p w14:paraId="039A68DD" w14:textId="77777777" w:rsidR="00D0250C" w:rsidRDefault="000B19B5">
      <w:pPr>
        <w:numPr>
          <w:ilvl w:val="0"/>
          <w:numId w:val="2"/>
        </w:numPr>
        <w:spacing w:before="156"/>
        <w:rPr>
          <w:sz w:val="22"/>
          <w:szCs w:val="22"/>
        </w:rPr>
      </w:pPr>
      <w:r>
        <w:rPr>
          <w:sz w:val="22"/>
          <w:szCs w:val="22"/>
        </w:rPr>
        <w:t>The planned site is over 1650 feet from the nearest road, and the topogr</w:t>
      </w:r>
      <w:r>
        <w:rPr>
          <w:sz w:val="22"/>
          <w:szCs w:val="22"/>
        </w:rPr>
        <w:t>aphy should minimize visual impact.  In addition, vegetative screening is planned to further decrease visual impact.</w:t>
      </w:r>
    </w:p>
    <w:p w14:paraId="55B58C46" w14:textId="77777777" w:rsidR="00D0250C" w:rsidRDefault="000B19B5">
      <w:pPr>
        <w:numPr>
          <w:ilvl w:val="0"/>
          <w:numId w:val="2"/>
        </w:numPr>
        <w:spacing w:before="156"/>
        <w:rPr>
          <w:sz w:val="22"/>
          <w:szCs w:val="22"/>
        </w:rPr>
      </w:pPr>
      <w:r>
        <w:rPr>
          <w:sz w:val="22"/>
          <w:szCs w:val="22"/>
        </w:rPr>
        <w:t xml:space="preserve">A portion of the wetland region of the property has been previously farmed, and the planned installation includes this area.  No expansion </w:t>
      </w:r>
      <w:r>
        <w:rPr>
          <w:sz w:val="22"/>
          <w:szCs w:val="22"/>
        </w:rPr>
        <w:t>into the remaining wetlands is planned.</w:t>
      </w:r>
    </w:p>
    <w:p w14:paraId="30D336CB" w14:textId="752598EE" w:rsidR="00D0250C" w:rsidRDefault="000B19B5">
      <w:pPr>
        <w:numPr>
          <w:ilvl w:val="0"/>
          <w:numId w:val="2"/>
        </w:numPr>
        <w:spacing w:before="156"/>
        <w:rPr>
          <w:sz w:val="22"/>
          <w:szCs w:val="22"/>
        </w:rPr>
      </w:pPr>
      <w:r>
        <w:rPr>
          <w:sz w:val="22"/>
          <w:szCs w:val="22"/>
        </w:rPr>
        <w:t xml:space="preserve">The applicant claims their installation method complies with Army Corps of Engineers requirements for work in wetlands.  </w:t>
      </w:r>
      <w:r>
        <w:rPr>
          <w:rFonts w:cs="Times New Roman"/>
          <w:sz w:val="22"/>
          <w:szCs w:val="22"/>
        </w:rPr>
        <w:t xml:space="preserve">GZA GeoEnvironmental of New York submitted a letter, dated October 21, </w:t>
      </w:r>
      <w:r w:rsidR="00DA3C65">
        <w:rPr>
          <w:rFonts w:cs="Times New Roman"/>
          <w:sz w:val="22"/>
          <w:szCs w:val="22"/>
        </w:rPr>
        <w:t>2019, stating</w:t>
      </w:r>
      <w:r>
        <w:rPr>
          <w:rFonts w:cs="Times New Roman"/>
          <w:sz w:val="22"/>
          <w:szCs w:val="22"/>
        </w:rPr>
        <w:t xml:space="preserve"> this proj</w:t>
      </w:r>
      <w:r>
        <w:rPr>
          <w:rFonts w:cs="Times New Roman"/>
          <w:sz w:val="22"/>
          <w:szCs w:val="22"/>
        </w:rPr>
        <w:t xml:space="preserve">ect does not require a permit or regulation from United States Army Corps of Engineers.  </w:t>
      </w:r>
      <w:r w:rsidR="00DA3C65">
        <w:rPr>
          <w:rFonts w:cs="Times New Roman"/>
          <w:sz w:val="22"/>
          <w:szCs w:val="22"/>
        </w:rPr>
        <w:t>Labella</w:t>
      </w:r>
      <w:r>
        <w:rPr>
          <w:rFonts w:cs="Times New Roman"/>
          <w:sz w:val="22"/>
          <w:szCs w:val="22"/>
        </w:rPr>
        <w:t xml:space="preserve"> Associates, the </w:t>
      </w:r>
      <w:r>
        <w:rPr>
          <w:rFonts w:cs="Times New Roman"/>
          <w:sz w:val="22"/>
          <w:szCs w:val="22"/>
        </w:rPr>
        <w:t>Town Engineer</w:t>
      </w:r>
      <w:r>
        <w:rPr>
          <w:rFonts w:cs="Times New Roman"/>
          <w:sz w:val="22"/>
          <w:szCs w:val="22"/>
        </w:rPr>
        <w:t xml:space="preserve">, submitted a letter dated October 30, 2019, supporting that the Army Corps of Engineers has no objections to this project.  </w:t>
      </w:r>
    </w:p>
    <w:p w14:paraId="31E9C9A9" w14:textId="77777777" w:rsidR="00D0250C" w:rsidRDefault="000B19B5">
      <w:pPr>
        <w:numPr>
          <w:ilvl w:val="0"/>
          <w:numId w:val="2"/>
        </w:numPr>
        <w:spacing w:before="156"/>
        <w:rPr>
          <w:sz w:val="22"/>
          <w:szCs w:val="22"/>
        </w:rPr>
      </w:pPr>
      <w:r>
        <w:rPr>
          <w:sz w:val="22"/>
          <w:szCs w:val="22"/>
        </w:rPr>
        <w:t>To t</w:t>
      </w:r>
      <w:r>
        <w:rPr>
          <w:sz w:val="22"/>
          <w:szCs w:val="22"/>
        </w:rPr>
        <w:t>he west of the solar installation there is an easement for the city of Rochester’s water supply and the applicant is aware of this.</w:t>
      </w:r>
    </w:p>
    <w:p w14:paraId="70EA2FE8" w14:textId="77777777" w:rsidR="00D0250C" w:rsidRDefault="000B19B5">
      <w:pPr>
        <w:numPr>
          <w:ilvl w:val="0"/>
          <w:numId w:val="2"/>
        </w:numPr>
        <w:spacing w:before="156"/>
        <w:rPr>
          <w:sz w:val="22"/>
          <w:szCs w:val="22"/>
        </w:rPr>
      </w:pPr>
      <w:r>
        <w:rPr>
          <w:sz w:val="22"/>
          <w:szCs w:val="22"/>
        </w:rPr>
        <w:t xml:space="preserve">The Town of </w:t>
      </w:r>
      <w:r>
        <w:rPr>
          <w:rFonts w:cs="Times New Roman"/>
          <w:sz w:val="22"/>
          <w:szCs w:val="22"/>
        </w:rPr>
        <w:t>Mendon Planning Board had an application for this project, and declared themselves Lead Agency in regards to SEQ</w:t>
      </w:r>
      <w:r>
        <w:rPr>
          <w:rFonts w:cs="Times New Roman"/>
          <w:sz w:val="22"/>
          <w:szCs w:val="22"/>
        </w:rPr>
        <w:t>R. They issued a negative declaration at their meeting on February 5, 2020.  At that same meeting, the Planning Board granted approval to this overall project, with conditions.  One of those conditions was acquiring this variance.</w:t>
      </w:r>
    </w:p>
    <w:p w14:paraId="633CDD7A" w14:textId="77777777" w:rsidR="00D0250C" w:rsidRDefault="000B19B5">
      <w:pPr>
        <w:numPr>
          <w:ilvl w:val="0"/>
          <w:numId w:val="2"/>
        </w:numPr>
        <w:spacing w:before="156"/>
        <w:rPr>
          <w:sz w:val="22"/>
          <w:szCs w:val="22"/>
        </w:rPr>
      </w:pPr>
      <w:r>
        <w:rPr>
          <w:sz w:val="22"/>
          <w:szCs w:val="22"/>
        </w:rPr>
        <w:t>Members of the public wer</w:t>
      </w:r>
      <w:r>
        <w:rPr>
          <w:sz w:val="22"/>
          <w:szCs w:val="22"/>
        </w:rPr>
        <w:t>e given the opportunity to comment during the public hearing.</w:t>
      </w:r>
    </w:p>
    <w:p w14:paraId="31097773" w14:textId="77777777" w:rsidR="00D0250C" w:rsidRDefault="000B19B5">
      <w:pPr>
        <w:numPr>
          <w:ilvl w:val="0"/>
          <w:numId w:val="2"/>
        </w:numPr>
        <w:spacing w:before="156"/>
        <w:rPr>
          <w:sz w:val="22"/>
          <w:szCs w:val="22"/>
        </w:rPr>
      </w:pPr>
      <w:r>
        <w:rPr>
          <w:sz w:val="22"/>
          <w:szCs w:val="22"/>
        </w:rPr>
        <w:t>This application is exempt from County Planning Board review under General Municipal Law 239-m pursuant to an agreement dated January 24, 1994 between the County and the Town which exempts matte</w:t>
      </w:r>
      <w:r>
        <w:rPr>
          <w:sz w:val="22"/>
          <w:szCs w:val="22"/>
        </w:rPr>
        <w:t xml:space="preserve">rs set forth therein from further County review. </w:t>
      </w:r>
    </w:p>
    <w:p w14:paraId="5338405B" w14:textId="77777777" w:rsidR="00D0250C" w:rsidRDefault="000B19B5">
      <w:pPr>
        <w:spacing w:before="156"/>
        <w:rPr>
          <w:b/>
          <w:sz w:val="22"/>
          <w:szCs w:val="22"/>
          <w:u w:val="single"/>
        </w:rPr>
      </w:pPr>
      <w:r>
        <w:rPr>
          <w:b/>
          <w:sz w:val="22"/>
          <w:szCs w:val="22"/>
          <w:u w:val="single"/>
        </w:rPr>
        <w:t>CONCLUSIONS OF LAW</w:t>
      </w:r>
    </w:p>
    <w:p w14:paraId="3009CB23" w14:textId="77777777" w:rsidR="00D0250C" w:rsidRDefault="000B19B5">
      <w:pPr>
        <w:numPr>
          <w:ilvl w:val="0"/>
          <w:numId w:val="3"/>
        </w:numPr>
        <w:spacing w:before="156"/>
        <w:rPr>
          <w:sz w:val="22"/>
          <w:szCs w:val="22"/>
        </w:rPr>
      </w:pPr>
      <w:r>
        <w:rPr>
          <w:sz w:val="22"/>
          <w:szCs w:val="22"/>
        </w:rPr>
        <w:t>The requested benefit can</w:t>
      </w:r>
      <w:r>
        <w:rPr>
          <w:b/>
          <w:bCs/>
          <w:sz w:val="22"/>
          <w:szCs w:val="22"/>
        </w:rPr>
        <w:t>not</w:t>
      </w:r>
      <w:r>
        <w:rPr>
          <w:sz w:val="22"/>
          <w:szCs w:val="22"/>
        </w:rPr>
        <w:t xml:space="preserve"> be achieved by other feasible means, as relocating to work around the wetlands would lead to increased total footprint and greater impact on the area.</w:t>
      </w:r>
    </w:p>
    <w:p w14:paraId="02C2BCA9" w14:textId="2197C559" w:rsidR="00D0250C" w:rsidRDefault="000B19B5">
      <w:pPr>
        <w:numPr>
          <w:ilvl w:val="0"/>
          <w:numId w:val="3"/>
        </w:numPr>
        <w:spacing w:before="156"/>
        <w:rPr>
          <w:sz w:val="22"/>
          <w:szCs w:val="22"/>
        </w:rPr>
      </w:pPr>
      <w:r>
        <w:rPr>
          <w:sz w:val="22"/>
          <w:szCs w:val="22"/>
        </w:rPr>
        <w:lastRenderedPageBreak/>
        <w:t>The req</w:t>
      </w:r>
      <w:r>
        <w:rPr>
          <w:sz w:val="22"/>
          <w:szCs w:val="22"/>
        </w:rPr>
        <w:t xml:space="preserve">uest is </w:t>
      </w:r>
      <w:r>
        <w:rPr>
          <w:b/>
          <w:bCs/>
          <w:sz w:val="22"/>
          <w:szCs w:val="22"/>
        </w:rPr>
        <w:t>not</w:t>
      </w:r>
      <w:r>
        <w:rPr>
          <w:sz w:val="22"/>
          <w:szCs w:val="22"/>
        </w:rPr>
        <w:t xml:space="preserve"> substantial, as the installation would not cause significantly more impact </w:t>
      </w:r>
      <w:r w:rsidR="00DA3C65">
        <w:rPr>
          <w:sz w:val="22"/>
          <w:szCs w:val="22"/>
        </w:rPr>
        <w:t>than</w:t>
      </w:r>
      <w:bookmarkStart w:id="0" w:name="_GoBack"/>
      <w:bookmarkEnd w:id="0"/>
      <w:r>
        <w:rPr>
          <w:sz w:val="22"/>
          <w:szCs w:val="22"/>
        </w:rPr>
        <w:t xml:space="preserve"> the existing farming. </w:t>
      </w:r>
    </w:p>
    <w:p w14:paraId="03CC42B1" w14:textId="77777777" w:rsidR="00D0250C" w:rsidRDefault="000B19B5">
      <w:pPr>
        <w:numPr>
          <w:ilvl w:val="0"/>
          <w:numId w:val="3"/>
        </w:numPr>
        <w:spacing w:before="156"/>
        <w:rPr>
          <w:sz w:val="22"/>
          <w:szCs w:val="22"/>
        </w:rPr>
      </w:pPr>
      <w:r>
        <w:rPr>
          <w:rFonts w:cs="Times New Roman"/>
          <w:sz w:val="22"/>
          <w:szCs w:val="22"/>
        </w:rPr>
        <w:t xml:space="preserve">In light of the Town Planning Board having issued a negative declaration on </w:t>
      </w:r>
      <w:r>
        <w:rPr>
          <w:rFonts w:cs="Times New Roman"/>
          <w:sz w:val="22"/>
          <w:szCs w:val="22"/>
          <w:highlight w:val="white"/>
        </w:rPr>
        <w:t>SEQR</w:t>
      </w:r>
      <w:r>
        <w:rPr>
          <w:rFonts w:cs="Times New Roman"/>
          <w:sz w:val="22"/>
          <w:szCs w:val="22"/>
        </w:rPr>
        <w:t>, and h</w:t>
      </w:r>
      <w:r>
        <w:rPr>
          <w:sz w:val="22"/>
          <w:szCs w:val="22"/>
        </w:rPr>
        <w:t xml:space="preserve">aving received letters from both the Town Engineer and </w:t>
      </w:r>
      <w:r>
        <w:rPr>
          <w:rFonts w:cs="Times New Roman"/>
          <w:sz w:val="22"/>
          <w:szCs w:val="22"/>
        </w:rPr>
        <w:t xml:space="preserve">GZA GeoEnvironmental, this Board </w:t>
      </w:r>
      <w:r>
        <w:rPr>
          <w:sz w:val="22"/>
          <w:szCs w:val="22"/>
        </w:rPr>
        <w:t xml:space="preserve">finds the request will </w:t>
      </w:r>
      <w:r>
        <w:rPr>
          <w:b/>
          <w:bCs/>
          <w:sz w:val="22"/>
          <w:szCs w:val="22"/>
        </w:rPr>
        <w:t>not</w:t>
      </w:r>
      <w:r>
        <w:rPr>
          <w:sz w:val="22"/>
          <w:szCs w:val="22"/>
        </w:rPr>
        <w:t xml:space="preserve"> have any adverse physical or environmental effects.</w:t>
      </w:r>
    </w:p>
    <w:p w14:paraId="4E27229F" w14:textId="77777777" w:rsidR="00D0250C" w:rsidRDefault="000B19B5">
      <w:pPr>
        <w:numPr>
          <w:ilvl w:val="0"/>
          <w:numId w:val="3"/>
        </w:numPr>
        <w:spacing w:before="156"/>
        <w:rPr>
          <w:sz w:val="22"/>
          <w:szCs w:val="22"/>
        </w:rPr>
      </w:pPr>
      <w:r>
        <w:rPr>
          <w:sz w:val="22"/>
          <w:szCs w:val="22"/>
        </w:rPr>
        <w:t xml:space="preserve">The request will </w:t>
      </w:r>
      <w:r>
        <w:rPr>
          <w:b/>
          <w:bCs/>
          <w:sz w:val="22"/>
          <w:szCs w:val="22"/>
        </w:rPr>
        <w:t>not</w:t>
      </w:r>
      <w:r>
        <w:rPr>
          <w:sz w:val="22"/>
          <w:szCs w:val="22"/>
        </w:rPr>
        <w:t xml:space="preserve"> have an undesirable change in the neighborhood, as the terrain of th</w:t>
      </w:r>
      <w:r>
        <w:rPr>
          <w:sz w:val="22"/>
          <w:szCs w:val="22"/>
        </w:rPr>
        <w:t>e land, combined with the planned screening, should effectively hide the solar installation.</w:t>
      </w:r>
    </w:p>
    <w:p w14:paraId="4E67FF93" w14:textId="55BBA8E2" w:rsidR="00D0250C" w:rsidRDefault="000B19B5">
      <w:pPr>
        <w:numPr>
          <w:ilvl w:val="0"/>
          <w:numId w:val="3"/>
        </w:numPr>
        <w:spacing w:before="156"/>
        <w:rPr>
          <w:sz w:val="22"/>
          <w:szCs w:val="22"/>
        </w:rPr>
      </w:pPr>
      <w:r>
        <w:rPr>
          <w:sz w:val="22"/>
          <w:szCs w:val="22"/>
        </w:rPr>
        <w:t xml:space="preserve">The difficulty </w:t>
      </w:r>
      <w:r>
        <w:rPr>
          <w:b/>
          <w:bCs/>
          <w:sz w:val="22"/>
          <w:szCs w:val="22"/>
        </w:rPr>
        <w:t>was</w:t>
      </w:r>
      <w:r>
        <w:rPr>
          <w:sz w:val="22"/>
          <w:szCs w:val="22"/>
        </w:rPr>
        <w:t xml:space="preserve"> self-created, as the terrain and </w:t>
      </w:r>
      <w:r w:rsidR="00DA3C65">
        <w:rPr>
          <w:sz w:val="22"/>
          <w:szCs w:val="22"/>
        </w:rPr>
        <w:t>its</w:t>
      </w:r>
      <w:r>
        <w:rPr>
          <w:sz w:val="22"/>
          <w:szCs w:val="22"/>
        </w:rPr>
        <w:t xml:space="preserve"> condition predate the applicants plans.  </w:t>
      </w:r>
    </w:p>
    <w:sectPr w:rsidR="00D0250C">
      <w:headerReference w:type="default" r:id="rId7"/>
      <w:footerReference w:type="default" r:id="rId8"/>
      <w:pgSz w:w="12240" w:h="15840"/>
      <w:pgMar w:top="1624" w:right="1134" w:bottom="1624" w:left="1134" w:header="1134"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B7FD0" w14:textId="77777777" w:rsidR="000B19B5" w:rsidRDefault="000B19B5">
      <w:r>
        <w:separator/>
      </w:r>
    </w:p>
  </w:endnote>
  <w:endnote w:type="continuationSeparator" w:id="0">
    <w:p w14:paraId="33EA9A5E" w14:textId="77777777" w:rsidR="000B19B5" w:rsidRDefault="000B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iberation Serif">
    <w:altName w:val="MS PMincho"/>
    <w:charset w:val="8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40A1E" w14:textId="77777777" w:rsidR="00D0250C" w:rsidRDefault="000B19B5">
    <w:pPr>
      <w:pStyle w:val="Footer"/>
      <w:rPr>
        <w:sz w:val="18"/>
        <w:szCs w:val="18"/>
      </w:rPr>
    </w:pPr>
    <w:r>
      <w:rPr>
        <w:sz w:val="18"/>
        <w:szCs w:val="18"/>
      </w:rPr>
      <w:fldChar w:fldCharType="begin"/>
    </w:r>
    <w:r>
      <w:rPr>
        <w:sz w:val="18"/>
        <w:szCs w:val="18"/>
      </w:rPr>
      <w:instrText>FILENAME</w:instrText>
    </w:r>
    <w:r>
      <w:rPr>
        <w:sz w:val="18"/>
        <w:szCs w:val="18"/>
      </w:rPr>
      <w:fldChar w:fldCharType="separate"/>
    </w:r>
    <w:r>
      <w:rPr>
        <w:sz w:val="18"/>
        <w:szCs w:val="18"/>
      </w:rPr>
      <w:t xml:space="preserve">determination draft </w:t>
    </w:r>
    <w:proofErr w:type="spellStart"/>
    <w:r>
      <w:rPr>
        <w:sz w:val="18"/>
        <w:szCs w:val="18"/>
      </w:rPr>
      <w:t>mendon</w:t>
    </w:r>
    <w:proofErr w:type="spellEnd"/>
    <w:r>
      <w:rPr>
        <w:sz w:val="18"/>
        <w:szCs w:val="18"/>
      </w:rPr>
      <w:t xml:space="preserve"> </w:t>
    </w:r>
    <w:proofErr w:type="spellStart"/>
    <w:r>
      <w:rPr>
        <w:sz w:val="18"/>
        <w:szCs w:val="18"/>
      </w:rPr>
      <w:t>renewables.odt</w:t>
    </w:r>
    <w:proofErr w:type="spellEnd"/>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E4E78" w14:textId="77777777" w:rsidR="000B19B5" w:rsidRDefault="000B19B5">
      <w:r>
        <w:separator/>
      </w:r>
    </w:p>
  </w:footnote>
  <w:footnote w:type="continuationSeparator" w:id="0">
    <w:p w14:paraId="09FB310F" w14:textId="77777777" w:rsidR="000B19B5" w:rsidRDefault="000B1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EB445" w14:textId="77777777" w:rsidR="00D0250C" w:rsidRDefault="000B19B5">
    <w:pPr>
      <w:pStyle w:val="Header"/>
      <w:rPr>
        <w:sz w:val="18"/>
        <w:szCs w:val="18"/>
      </w:rPr>
    </w:pPr>
    <w:r>
      <w:rPr>
        <w:sz w:val="18"/>
        <w:szCs w:val="18"/>
      </w:rPr>
      <w:t>UNAPPROVED DRAFT FOR DISCUSSION</w:t>
    </w:r>
    <w:r>
      <w:rPr>
        <w:sz w:val="18"/>
        <w:szCs w:val="18"/>
      </w:rPr>
      <w:tab/>
    </w:r>
    <w:r>
      <w:rPr>
        <w:sz w:val="18"/>
        <w:szCs w:val="18"/>
      </w:rPr>
      <w:tab/>
      <w:t xml:space="preserve">Page </w:t>
    </w:r>
    <w:r>
      <w:rPr>
        <w:sz w:val="18"/>
        <w:szCs w:val="18"/>
      </w:rPr>
      <w:fldChar w:fldCharType="begin"/>
    </w:r>
    <w:r>
      <w:rPr>
        <w:sz w:val="18"/>
        <w:szCs w:val="18"/>
      </w:rPr>
      <w:instrText>PAGE</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Pr>
        <w:sz w:val="18"/>
        <w:szCs w:val="18"/>
      </w:rPr>
      <w:t>2</w:t>
    </w:r>
    <w:r>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E3C47"/>
    <w:multiLevelType w:val="multilevel"/>
    <w:tmpl w:val="5F98D9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3534FC9"/>
    <w:multiLevelType w:val="multilevel"/>
    <w:tmpl w:val="429CD27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15:restartNumberingAfterBreak="0">
    <w:nsid w:val="64A02D58"/>
    <w:multiLevelType w:val="multilevel"/>
    <w:tmpl w:val="828E00B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0C"/>
    <w:rsid w:val="000B19B5"/>
    <w:rsid w:val="00D0250C"/>
    <w:rsid w:val="00DA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D4B0"/>
  <w15:docId w15:val="{F020F584-7098-4185-922C-DE8572D6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PMincho" w:hAnsi="Times New Roman" w:cs="Mangal"/>
        <w:kern w:val="2"/>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2">
    <w:name w:val="heading 2"/>
    <w:basedOn w:val="Heading"/>
    <w:next w:val="BodyText"/>
    <w:uiPriority w:val="9"/>
    <w:semiHidden/>
    <w:unhideWhenUsed/>
    <w:qFormat/>
    <w:pPr>
      <w:spacing w:before="200"/>
      <w:outlineLvl w:val="1"/>
    </w:pPr>
    <w:rPr>
      <w:rFonts w:ascii="Liberation Serif" w:eastAsia="MS Mincho"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Pr>
      <w:b w:val="0"/>
      <w:bCs w:val="0"/>
      <w:i w:val="0"/>
      <w:iCs w:val="0"/>
    </w:rPr>
  </w:style>
  <w:style w:type="character" w:customStyle="1" w:styleId="InternetLink">
    <w:name w:val="Internet Link"/>
    <w:rPr>
      <w:color w:val="000080"/>
      <w:u w:val="single"/>
      <w:lang/>
    </w:rPr>
  </w:style>
  <w:style w:type="paragraph" w:customStyle="1" w:styleId="Heading">
    <w:name w:val="Heading"/>
    <w:basedOn w:val="Normal"/>
    <w:next w:val="BodyText"/>
    <w:qFormat/>
    <w:pPr>
      <w:keepNext/>
      <w:spacing w:before="240" w:after="120"/>
    </w:pPr>
    <w:rPr>
      <w:rFonts w:ascii="Arial" w:eastAsia="MS PGothic"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tabs>
        <w:tab w:val="center" w:pos="4680"/>
        <w:tab w:val="right" w:pos="9360"/>
      </w:tabs>
    </w:pPr>
  </w:style>
  <w:style w:type="paragraph" w:styleId="ListParagraph">
    <w:name w:val="List Paragraph"/>
    <w:basedOn w:val="Normal"/>
    <w:qFormat/>
    <w:pPr>
      <w:ind w:left="720"/>
      <w:contextualSpacing/>
    </w:pPr>
  </w:style>
  <w:style w:type="paragraph" w:styleId="Footer">
    <w:name w:val="foot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Booth</dc:creator>
  <dc:description/>
  <cp:lastModifiedBy>Michelle Booth</cp:lastModifiedBy>
  <cp:revision>2</cp:revision>
  <dcterms:created xsi:type="dcterms:W3CDTF">2020-02-14T13:59:00Z</dcterms:created>
  <dcterms:modified xsi:type="dcterms:W3CDTF">2020-02-14T13:59:00Z</dcterms:modified>
  <dc:language>en-US</dc:language>
</cp:coreProperties>
</file>