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972F7" w14:textId="77777777" w:rsidR="00857B18" w:rsidRDefault="00F269DF">
      <w:pPr>
        <w:pStyle w:val="Header"/>
        <w:spacing w:before="15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CAROSA AREA VARIANCE DETERMINATION</w:t>
      </w:r>
    </w:p>
    <w:p w14:paraId="58AC30CA" w14:textId="42B05D74" w:rsidR="00857B18" w:rsidRDefault="00D41391">
      <w:pPr>
        <w:pStyle w:val="Header"/>
        <w:spacing w:before="156"/>
        <w:rPr>
          <w:sz w:val="22"/>
          <w:szCs w:val="22"/>
        </w:rPr>
      </w:pPr>
      <w:r>
        <w:rPr>
          <w:sz w:val="22"/>
          <w:szCs w:val="22"/>
        </w:rPr>
        <w:t>Mr.</w:t>
      </w:r>
      <w:r w:rsidR="00F269DF">
        <w:rPr>
          <w:sz w:val="22"/>
          <w:szCs w:val="22"/>
        </w:rPr>
        <w:t xml:space="preserve"> Maxon moved, seconded by </w:t>
      </w:r>
      <w:r>
        <w:rPr>
          <w:sz w:val="22"/>
          <w:szCs w:val="22"/>
        </w:rPr>
        <w:t>Mr.</w:t>
      </w:r>
      <w:r w:rsidR="00F269DF">
        <w:rPr>
          <w:sz w:val="22"/>
          <w:szCs w:val="22"/>
        </w:rPr>
        <w:t xml:space="preserve"> Tudhope, that the area variance requested by Christopher Carosa, 2 Lantern Lane, Honeoye Falls, consisting of 0.84 acres</w:t>
      </w:r>
      <w:r w:rsidR="00F269DF">
        <w:rPr>
          <w:rFonts w:cs="Times New Roman"/>
          <w:sz w:val="22"/>
          <w:szCs w:val="22"/>
        </w:rPr>
        <w:t xml:space="preserve">, bearing Tax Account No. 215.02-1-50, located in an RA-1 zone, </w:t>
      </w:r>
      <w:r w:rsidR="00F269DF">
        <w:rPr>
          <w:sz w:val="22"/>
          <w:szCs w:val="22"/>
        </w:rPr>
        <w:t>to construct a 28’ by 48’detached garage at said property, which exceeds the allowed lot coverage by approximately 612 square feet and therefore requires an area variance, b</w:t>
      </w:r>
      <w:r w:rsidR="00F269DF">
        <w:rPr>
          <w:sz w:val="22"/>
          <w:szCs w:val="22"/>
        </w:rPr>
        <w:t>e approved</w:t>
      </w:r>
      <w:r w:rsidR="00F269DF">
        <w:rPr>
          <w:sz w:val="22"/>
          <w:szCs w:val="22"/>
        </w:rPr>
        <w:t xml:space="preserve"> based on</w:t>
      </w:r>
      <w:r w:rsidR="00F269DF">
        <w:rPr>
          <w:sz w:val="22"/>
          <w:szCs w:val="22"/>
        </w:rPr>
        <w:t xml:space="preserve"> the following findings of fact and conclusions of law:</w:t>
      </w:r>
    </w:p>
    <w:p w14:paraId="60D8A506" w14:textId="77777777" w:rsidR="00857B18" w:rsidRDefault="00F269DF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FINDINGS OF FACT</w:t>
      </w:r>
    </w:p>
    <w:p w14:paraId="723FC9BE" w14:textId="77777777" w:rsidR="00857B18" w:rsidRDefault="00F269DF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>Christopher Carosa, the property owner appeared before the Zoning Board of Appeals at the public hearings on February 27, 2020 and March 12, 2020.</w:t>
      </w:r>
    </w:p>
    <w:p w14:paraId="142B73D0" w14:textId="77777777" w:rsidR="00857B18" w:rsidRDefault="00F269DF">
      <w:pPr>
        <w:numPr>
          <w:ilvl w:val="0"/>
          <w:numId w:val="1"/>
        </w:numPr>
        <w:spacing w:before="15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This property is located in the Skyv</w:t>
      </w:r>
      <w:r>
        <w:rPr>
          <w:rFonts w:cs="Times New Roman"/>
          <w:sz w:val="22"/>
          <w:szCs w:val="22"/>
        </w:rPr>
        <w:t>iew Estates subdivision, which was approved in 1978 as a cluster development pursuant to Town Code Section 226.  Town Code Section 226-8(D)(1)(3) states that minimum lot sizes in RA-1 Zoning Districts shall be 0.75 acres.  As such, the property is properly</w:t>
      </w:r>
      <w:r>
        <w:rPr>
          <w:rFonts w:cs="Times New Roman"/>
          <w:sz w:val="22"/>
          <w:szCs w:val="22"/>
        </w:rPr>
        <w:t xml:space="preserve"> sized.</w:t>
      </w:r>
    </w:p>
    <w:p w14:paraId="6206BAB7" w14:textId="2BF7B283" w:rsidR="00857B18" w:rsidRDefault="00F269DF">
      <w:pPr>
        <w:numPr>
          <w:ilvl w:val="0"/>
          <w:numId w:val="1"/>
        </w:numPr>
        <w:spacing w:before="156"/>
      </w:pPr>
      <w:r>
        <w:rPr>
          <w:sz w:val="22"/>
          <w:szCs w:val="22"/>
        </w:rPr>
        <w:t>Section 260-8</w:t>
      </w:r>
      <w:r w:rsidR="00D41391">
        <w:rPr>
          <w:sz w:val="22"/>
          <w:szCs w:val="22"/>
        </w:rPr>
        <w:t>C(</w:t>
      </w:r>
      <w:r>
        <w:rPr>
          <w:sz w:val="22"/>
          <w:szCs w:val="22"/>
        </w:rPr>
        <w:t xml:space="preserve">3) of the Town Code states the total area of all accessory buildings shall not exceed 2% of the lot area.  The lot size is approximately 0.84 acres, or </w:t>
      </w:r>
      <w:r>
        <w:rPr>
          <w:sz w:val="22"/>
          <w:szCs w:val="22"/>
        </w:rPr>
        <w:t>36590</w:t>
      </w:r>
      <w:r>
        <w:rPr>
          <w:sz w:val="22"/>
          <w:szCs w:val="22"/>
        </w:rPr>
        <w:t xml:space="preserve"> square feet.  2% of that, the allowed area for accessory buildings, is 732 </w:t>
      </w:r>
      <w:r>
        <w:rPr>
          <w:sz w:val="22"/>
          <w:szCs w:val="22"/>
        </w:rPr>
        <w:t>square feet.</w:t>
      </w:r>
    </w:p>
    <w:p w14:paraId="3735FB9D" w14:textId="77777777" w:rsidR="00857B18" w:rsidRDefault="00F269DF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applicant has requested a variance to construct a detached garage with dimensions of approximately 28’ x 48’, or 1344 square feet.  Per the map provided to the Board, dated July 29, 1986, the applicant intends to position the garage along </w:t>
      </w:r>
      <w:r>
        <w:rPr>
          <w:sz w:val="22"/>
          <w:szCs w:val="22"/>
        </w:rPr>
        <w:t>the northern end of their driveway.</w:t>
      </w:r>
    </w:p>
    <w:p w14:paraId="2D02768D" w14:textId="77777777" w:rsidR="00857B18" w:rsidRDefault="00F269DF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There is an existing accessory structure on the lot, which the applicant intends to demolish.  The items in the existing structure will be relocated to the new structure.</w:t>
      </w:r>
    </w:p>
    <w:p w14:paraId="528AC1C2" w14:textId="77777777" w:rsidR="00857B18" w:rsidRDefault="00F269DF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intends to use this detached garage</w:t>
      </w:r>
      <w:r>
        <w:rPr>
          <w:sz w:val="22"/>
          <w:szCs w:val="22"/>
        </w:rPr>
        <w:t xml:space="preserve"> primarily for storage.</w:t>
      </w:r>
    </w:p>
    <w:p w14:paraId="303814B5" w14:textId="77777777" w:rsidR="00857B18" w:rsidRDefault="00F269DF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existing residence includes an attached garage.</w:t>
      </w:r>
    </w:p>
    <w:p w14:paraId="727F2670" w14:textId="77777777" w:rsidR="00857B18" w:rsidRDefault="00F269DF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There are similarly sized accessory structures on some of the nearby properties.</w:t>
      </w:r>
    </w:p>
    <w:p w14:paraId="12F289DB" w14:textId="77777777" w:rsidR="00857B18" w:rsidRDefault="00F269DF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There is a leech field directly north of the residence, preventing construction in that area.</w:t>
      </w:r>
    </w:p>
    <w:p w14:paraId="7D9F5113" w14:textId="77777777" w:rsidR="00857B18" w:rsidRDefault="00F269DF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No me</w:t>
      </w:r>
      <w:r>
        <w:rPr>
          <w:sz w:val="22"/>
          <w:szCs w:val="22"/>
        </w:rPr>
        <w:t>mbers of the public commented during the public hearing.</w:t>
      </w:r>
    </w:p>
    <w:p w14:paraId="63F640C8" w14:textId="77777777" w:rsidR="00857B18" w:rsidRDefault="00F269DF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This application is exempt from County Planning Board review under General Municipal Law 239-m pursuant to an agreement dated January 24, 1994 between the County and the Town which exempts matters se</w:t>
      </w:r>
      <w:r>
        <w:rPr>
          <w:sz w:val="22"/>
          <w:szCs w:val="22"/>
        </w:rPr>
        <w:t>t forth therein from further County review.</w:t>
      </w:r>
    </w:p>
    <w:p w14:paraId="792034A9" w14:textId="77777777" w:rsidR="00857B18" w:rsidRDefault="00F269DF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CONCLUSIONS OF LAW</w:t>
      </w:r>
      <w:r>
        <w:rPr>
          <w:sz w:val="22"/>
          <w:szCs w:val="22"/>
        </w:rPr>
        <w:t xml:space="preserve"> </w:t>
      </w:r>
    </w:p>
    <w:p w14:paraId="639128D6" w14:textId="77777777" w:rsidR="00857B18" w:rsidRDefault="00F269DF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requested benefit can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be achieved by other feasible means, as the size of the lot and existing usage of land prevent alternatives.</w:t>
      </w:r>
    </w:p>
    <w:p w14:paraId="52D873E1" w14:textId="77777777" w:rsidR="00857B18" w:rsidRDefault="00F269DF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</w:t>
      </w:r>
      <w:r>
        <w:rPr>
          <w:b/>
          <w:bCs/>
          <w:sz w:val="22"/>
          <w:szCs w:val="22"/>
        </w:rPr>
        <w:t>is</w:t>
      </w:r>
      <w:r>
        <w:rPr>
          <w:sz w:val="22"/>
          <w:szCs w:val="22"/>
        </w:rPr>
        <w:t xml:space="preserve"> substantial, as it is nearly double the</w:t>
      </w:r>
      <w:r>
        <w:rPr>
          <w:sz w:val="22"/>
          <w:szCs w:val="22"/>
        </w:rPr>
        <w:t xml:space="preserve"> allowed coverage.</w:t>
      </w:r>
    </w:p>
    <w:p w14:paraId="54E26C48" w14:textId="77777777" w:rsidR="00857B18" w:rsidRDefault="00F269DF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Upon review of Short Environmental Assessment Form (617.20 Appendix B), the board finds 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any adverse physical or environmental effects, as it impacts such a small portion of land.</w:t>
      </w:r>
    </w:p>
    <w:p w14:paraId="0D60F56E" w14:textId="77777777" w:rsidR="00857B18" w:rsidRDefault="00F269DF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 und</w:t>
      </w:r>
      <w:r>
        <w:rPr>
          <w:sz w:val="22"/>
          <w:szCs w:val="22"/>
        </w:rPr>
        <w:t xml:space="preserve">esirable change in the neighborhood, as similarly sized accessory structures already exist in the neighborhood. </w:t>
      </w:r>
    </w:p>
    <w:p w14:paraId="5BB42652" w14:textId="77777777" w:rsidR="00857B18" w:rsidRDefault="00F269DF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difficulty </w:t>
      </w:r>
      <w:r>
        <w:rPr>
          <w:b/>
          <w:bCs/>
          <w:sz w:val="22"/>
          <w:szCs w:val="22"/>
        </w:rPr>
        <w:t>was</w:t>
      </w:r>
      <w:r>
        <w:rPr>
          <w:sz w:val="22"/>
          <w:szCs w:val="22"/>
        </w:rPr>
        <w:t xml:space="preserve"> self-created, as the applicants desire for additional space is of his own making.</w:t>
      </w:r>
    </w:p>
    <w:p w14:paraId="292EFBD2" w14:textId="77777777" w:rsidR="00857B18" w:rsidRDefault="00F269DF">
      <w:pPr>
        <w:numPr>
          <w:ilvl w:val="0"/>
          <w:numId w:val="2"/>
        </w:numPr>
        <w:spacing w:before="15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This is a Type II action under SEQR</w:t>
      </w:r>
    </w:p>
    <w:p w14:paraId="0A7F6D93" w14:textId="77777777" w:rsidR="00857B18" w:rsidRDefault="00F269DF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</w:t>
      </w:r>
      <w:r>
        <w:rPr>
          <w:b/>
          <w:sz w:val="22"/>
          <w:szCs w:val="22"/>
          <w:u w:val="single"/>
        </w:rPr>
        <w:t>DITIONS OF APPROVAL</w:t>
      </w:r>
    </w:p>
    <w:p w14:paraId="559B626A" w14:textId="7CF24C2A" w:rsidR="00857B18" w:rsidRDefault="00F269DF">
      <w:pPr>
        <w:numPr>
          <w:ilvl w:val="0"/>
          <w:numId w:val="3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existing accessory structure be demolished and removed within 60 days of the issuance of the C</w:t>
      </w:r>
      <w:r w:rsidR="00D41391">
        <w:rPr>
          <w:sz w:val="22"/>
          <w:szCs w:val="22"/>
        </w:rPr>
        <w:t xml:space="preserve">ertificate of </w:t>
      </w:r>
      <w:r>
        <w:rPr>
          <w:sz w:val="22"/>
          <w:szCs w:val="22"/>
        </w:rPr>
        <w:t>C</w:t>
      </w:r>
      <w:r w:rsidR="00D41391">
        <w:rPr>
          <w:sz w:val="22"/>
          <w:szCs w:val="22"/>
        </w:rPr>
        <w:t>ompliance</w:t>
      </w:r>
      <w:bookmarkStart w:id="0" w:name="_GoBack"/>
      <w:bookmarkEnd w:id="0"/>
      <w:r>
        <w:rPr>
          <w:sz w:val="22"/>
          <w:szCs w:val="22"/>
        </w:rPr>
        <w:t>.</w:t>
      </w:r>
    </w:p>
    <w:sectPr w:rsidR="00857B18">
      <w:headerReference w:type="default" r:id="rId7"/>
      <w:footerReference w:type="default" r:id="rId8"/>
      <w:pgSz w:w="12240" w:h="15840"/>
      <w:pgMar w:top="1624" w:right="1134" w:bottom="1624" w:left="1134" w:header="1134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83263" w14:textId="77777777" w:rsidR="00F269DF" w:rsidRDefault="00F269DF">
      <w:r>
        <w:separator/>
      </w:r>
    </w:p>
  </w:endnote>
  <w:endnote w:type="continuationSeparator" w:id="0">
    <w:p w14:paraId="70274963" w14:textId="77777777" w:rsidR="00F269DF" w:rsidRDefault="00F2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3B580" w14:textId="77777777" w:rsidR="00857B18" w:rsidRDefault="00F269DF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FILENAME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determination draft carosa.odt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7C5C4" w14:textId="77777777" w:rsidR="00F269DF" w:rsidRDefault="00F269DF">
      <w:r>
        <w:separator/>
      </w:r>
    </w:p>
  </w:footnote>
  <w:footnote w:type="continuationSeparator" w:id="0">
    <w:p w14:paraId="57D811A6" w14:textId="77777777" w:rsidR="00F269DF" w:rsidRDefault="00F2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FD5C4" w14:textId="64031985" w:rsidR="00857B18" w:rsidRDefault="00F269DF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00E68"/>
    <w:multiLevelType w:val="multilevel"/>
    <w:tmpl w:val="DF36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1" w15:restartNumberingAfterBreak="0">
    <w:nsid w:val="61636F53"/>
    <w:multiLevelType w:val="multilevel"/>
    <w:tmpl w:val="1A14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2" w15:restartNumberingAfterBreak="0">
    <w:nsid w:val="6CF71783"/>
    <w:multiLevelType w:val="multilevel"/>
    <w:tmpl w:val="7C98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3" w15:restartNumberingAfterBreak="0">
    <w:nsid w:val="7AC07542"/>
    <w:multiLevelType w:val="multilevel"/>
    <w:tmpl w:val="8E3E71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18"/>
    <w:rsid w:val="00857B18"/>
    <w:rsid w:val="00D41391"/>
    <w:rsid w:val="00F2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12C3"/>
  <w15:docId w15:val="{EE47FC4D-F174-44BB-AF97-8360D975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PMincho" w:hAnsi="Times New Roman" w:cs="Mangal"/>
        <w:kern w:val="2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 w:val="0"/>
      <w:bCs w:val="0"/>
      <w:i w:val="0"/>
      <w:iCs w:val="0"/>
    </w:rPr>
  </w:style>
  <w:style w:type="character" w:customStyle="1" w:styleId="ListLabel10">
    <w:name w:val="ListLabel 10"/>
    <w:qFormat/>
    <w:rPr>
      <w:b w:val="0"/>
      <w:bCs w:val="0"/>
      <w:i w:val="0"/>
      <w:iCs w:val="0"/>
      <w:sz w:val="22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b w:val="0"/>
      <w:bCs w:val="0"/>
      <w:i w:val="0"/>
      <w:iCs w:val="0"/>
    </w:rPr>
  </w:style>
  <w:style w:type="character" w:customStyle="1" w:styleId="ListLabel13">
    <w:name w:val="ListLabel 13"/>
    <w:qFormat/>
    <w:rPr>
      <w:b w:val="0"/>
      <w:bCs w:val="0"/>
      <w:i w:val="0"/>
      <w:iCs w:val="0"/>
    </w:rPr>
  </w:style>
  <w:style w:type="character" w:customStyle="1" w:styleId="ListLabel14">
    <w:name w:val="ListLabel 14"/>
    <w:qFormat/>
    <w:rPr>
      <w:b w:val="0"/>
      <w:bCs w:val="0"/>
      <w:i w:val="0"/>
      <w:iCs w:val="0"/>
    </w:rPr>
  </w:style>
  <w:style w:type="character" w:customStyle="1" w:styleId="ListLabel15">
    <w:name w:val="ListLabel 15"/>
    <w:qFormat/>
    <w:rPr>
      <w:b w:val="0"/>
      <w:bCs w:val="0"/>
      <w:i w:val="0"/>
      <w:iCs w:val="0"/>
    </w:rPr>
  </w:style>
  <w:style w:type="character" w:customStyle="1" w:styleId="ListLabel16">
    <w:name w:val="ListLabel 16"/>
    <w:qFormat/>
    <w:rPr>
      <w:b w:val="0"/>
      <w:bCs w:val="0"/>
      <w:i w:val="0"/>
      <w:iCs w:val="0"/>
    </w:rPr>
  </w:style>
  <w:style w:type="character" w:customStyle="1" w:styleId="ListLabel17">
    <w:name w:val="ListLabel 17"/>
    <w:qFormat/>
    <w:rPr>
      <w:b w:val="0"/>
      <w:bCs w:val="0"/>
      <w:i w:val="0"/>
      <w:iCs w:val="0"/>
    </w:rPr>
  </w:style>
  <w:style w:type="character" w:customStyle="1" w:styleId="ListLabel18">
    <w:name w:val="ListLabel 18"/>
    <w:qFormat/>
    <w:rPr>
      <w:b w:val="0"/>
      <w:bCs w:val="0"/>
      <w:i w:val="0"/>
      <w:i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Booth</dc:creator>
  <dc:description/>
  <cp:lastModifiedBy>Michelle Booth</cp:lastModifiedBy>
  <cp:revision>2</cp:revision>
  <dcterms:created xsi:type="dcterms:W3CDTF">2020-03-13T12:45:00Z</dcterms:created>
  <dcterms:modified xsi:type="dcterms:W3CDTF">2020-03-13T12:45:00Z</dcterms:modified>
  <dc:language>en-US</dc:language>
</cp:coreProperties>
</file>